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550DC" w14:textId="190F6599" w:rsidR="0040270A" w:rsidRDefault="0040270A" w:rsidP="0040270A">
      <w:pPr>
        <w:ind w:left="6663" w:hanging="2160"/>
        <w:rPr>
          <w:rFonts w:ascii="Arial" w:hAnsi="Arial" w:cs="Arial"/>
          <w:b/>
          <w:bCs/>
        </w:rPr>
      </w:pPr>
      <w:r>
        <w:rPr>
          <w:noProof/>
        </w:rPr>
        <w:drawing>
          <wp:anchor distT="0" distB="0" distL="114300" distR="114300" simplePos="0" relativeHeight="251659264" behindDoc="1" locked="0" layoutInCell="1" allowOverlap="1" wp14:anchorId="472B1EA7" wp14:editId="0F0D5CCA">
            <wp:simplePos x="0" y="0"/>
            <wp:positionH relativeFrom="margin">
              <wp:align>left</wp:align>
            </wp:positionH>
            <wp:positionV relativeFrom="paragraph">
              <wp:posOffset>0</wp:posOffset>
            </wp:positionV>
            <wp:extent cx="2522190" cy="8199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979" cy="834841"/>
                    </a:xfrm>
                    <a:prstGeom prst="rect">
                      <a:avLst/>
                    </a:prstGeom>
                  </pic:spPr>
                </pic:pic>
              </a:graphicData>
            </a:graphic>
            <wp14:sizeRelH relativeFrom="margin">
              <wp14:pctWidth>0</wp14:pctWidth>
            </wp14:sizeRelH>
            <wp14:sizeRelV relativeFrom="margin">
              <wp14:pctHeight>0</wp14:pctHeight>
            </wp14:sizeRelV>
          </wp:anchor>
        </w:drawing>
      </w:r>
      <w:r w:rsidR="00197787">
        <w:rPr>
          <w:rFonts w:ascii="Arial" w:hAnsi="Arial" w:cs="Arial"/>
          <w:b/>
          <w:bCs/>
          <w:noProof/>
        </w:rPr>
        <w:drawing>
          <wp:inline distT="0" distB="0" distL="0" distR="0" wp14:anchorId="7EB95919" wp14:editId="48955182">
            <wp:extent cx="2067339" cy="85279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4892" cy="893040"/>
                    </a:xfrm>
                    <a:prstGeom prst="rect">
                      <a:avLst/>
                    </a:prstGeom>
                  </pic:spPr>
                </pic:pic>
              </a:graphicData>
            </a:graphic>
          </wp:inline>
        </w:drawing>
      </w:r>
    </w:p>
    <w:p w14:paraId="2A67759C" w14:textId="5E17AFE5" w:rsidR="0040270A" w:rsidRPr="00510102" w:rsidRDefault="0040270A" w:rsidP="0040270A">
      <w:pPr>
        <w:ind w:left="2160" w:hanging="2160"/>
        <w:rPr>
          <w:rFonts w:ascii="Arial" w:hAnsi="Arial" w:cs="Arial"/>
          <w:b/>
          <w:bCs/>
          <w:sz w:val="24"/>
          <w:szCs w:val="24"/>
        </w:rPr>
      </w:pPr>
    </w:p>
    <w:p w14:paraId="4DC3D64F" w14:textId="6D0160AD" w:rsidR="0040270A" w:rsidRPr="00510102" w:rsidRDefault="0040270A" w:rsidP="0040270A">
      <w:pPr>
        <w:ind w:left="2160" w:hanging="2160"/>
        <w:rPr>
          <w:rFonts w:ascii="Arial" w:hAnsi="Arial" w:cs="Arial"/>
          <w:b/>
          <w:bCs/>
          <w:sz w:val="24"/>
          <w:szCs w:val="24"/>
        </w:rPr>
      </w:pPr>
    </w:p>
    <w:p w14:paraId="0FD3E32E" w14:textId="77777777" w:rsidR="00510102" w:rsidRDefault="0040270A" w:rsidP="0040270A">
      <w:pPr>
        <w:rPr>
          <w:rFonts w:ascii="Arial" w:hAnsi="Arial" w:cs="Arial"/>
          <w:b/>
          <w:bCs/>
          <w:sz w:val="24"/>
          <w:szCs w:val="24"/>
        </w:rPr>
      </w:pPr>
      <w:r w:rsidRPr="00510102">
        <w:rPr>
          <w:rFonts w:ascii="Arial" w:hAnsi="Arial" w:cs="Arial"/>
          <w:b/>
          <w:bCs/>
          <w:sz w:val="24"/>
          <w:szCs w:val="24"/>
        </w:rPr>
        <w:t xml:space="preserve">Public Consultation on the </w:t>
      </w:r>
    </w:p>
    <w:p w14:paraId="4D3A7E80" w14:textId="62B9E004" w:rsidR="0040270A" w:rsidRPr="00510102" w:rsidRDefault="0040270A" w:rsidP="0040270A">
      <w:pPr>
        <w:rPr>
          <w:rFonts w:ascii="Arial" w:hAnsi="Arial" w:cs="Arial"/>
          <w:b/>
          <w:bCs/>
          <w:sz w:val="24"/>
          <w:szCs w:val="24"/>
        </w:rPr>
      </w:pPr>
      <w:r w:rsidRPr="00510102">
        <w:rPr>
          <w:rFonts w:ascii="Arial" w:hAnsi="Arial" w:cs="Arial"/>
          <w:b/>
          <w:bCs/>
          <w:sz w:val="24"/>
          <w:szCs w:val="24"/>
        </w:rPr>
        <w:t>Proposed Workforce Development Councils Orders in Council</w:t>
      </w:r>
    </w:p>
    <w:p w14:paraId="68E6ADBA" w14:textId="4EBF1A80" w:rsidR="0040270A" w:rsidRPr="00510102" w:rsidRDefault="0040270A" w:rsidP="0040270A">
      <w:pPr>
        <w:ind w:left="2160" w:hanging="2160"/>
        <w:rPr>
          <w:rFonts w:ascii="Arial" w:hAnsi="Arial" w:cs="Arial"/>
          <w:b/>
          <w:bCs/>
        </w:rPr>
      </w:pPr>
    </w:p>
    <w:p w14:paraId="14688296" w14:textId="77777777" w:rsidR="00510102" w:rsidRPr="00510102" w:rsidRDefault="00510102" w:rsidP="0040270A">
      <w:pPr>
        <w:ind w:left="2160" w:hanging="2160"/>
        <w:rPr>
          <w:rFonts w:ascii="Arial" w:hAnsi="Arial" w:cs="Arial"/>
          <w:b/>
          <w:bCs/>
        </w:rPr>
      </w:pPr>
    </w:p>
    <w:p w14:paraId="1A6FD8A0" w14:textId="43FA2641" w:rsidR="0040270A" w:rsidRPr="00510102" w:rsidRDefault="0040270A" w:rsidP="00510102">
      <w:pPr>
        <w:spacing w:after="120"/>
        <w:ind w:left="2160" w:hanging="2160"/>
        <w:rPr>
          <w:rFonts w:ascii="Arial" w:hAnsi="Arial" w:cs="Arial"/>
        </w:rPr>
      </w:pPr>
      <w:r w:rsidRPr="00510102">
        <w:rPr>
          <w:rFonts w:ascii="Arial" w:hAnsi="Arial" w:cs="Arial"/>
          <w:b/>
          <w:bCs/>
        </w:rPr>
        <w:t>Submitters</w:t>
      </w:r>
      <w:r w:rsidRPr="00510102">
        <w:rPr>
          <w:rFonts w:ascii="Arial" w:hAnsi="Arial" w:cs="Arial"/>
        </w:rPr>
        <w:t xml:space="preserve">: </w:t>
      </w:r>
      <w:r w:rsidRPr="00510102">
        <w:rPr>
          <w:rFonts w:ascii="Arial" w:hAnsi="Arial" w:cs="Arial"/>
        </w:rPr>
        <w:tab/>
        <w:t xml:space="preserve">New Zealand Apples &amp; Pears and Horticulture New Zealand Incorporated </w:t>
      </w:r>
    </w:p>
    <w:p w14:paraId="4FD626F3" w14:textId="21A9548D" w:rsidR="0040270A" w:rsidRPr="00510102" w:rsidRDefault="0040270A" w:rsidP="007D33FE">
      <w:pPr>
        <w:spacing w:after="120"/>
        <w:ind w:left="2160" w:hanging="2160"/>
        <w:rPr>
          <w:rFonts w:ascii="Arial" w:hAnsi="Arial" w:cs="Arial"/>
        </w:rPr>
      </w:pPr>
      <w:r w:rsidRPr="00510102">
        <w:rPr>
          <w:rFonts w:ascii="Arial" w:hAnsi="Arial" w:cs="Arial"/>
          <w:b/>
          <w:bCs/>
        </w:rPr>
        <w:t>Submitted by</w:t>
      </w:r>
      <w:r w:rsidRPr="00510102">
        <w:rPr>
          <w:rFonts w:ascii="Arial" w:hAnsi="Arial" w:cs="Arial"/>
        </w:rPr>
        <w:t xml:space="preserve">: </w:t>
      </w:r>
      <w:r w:rsidRPr="00510102">
        <w:rPr>
          <w:rFonts w:ascii="Arial" w:hAnsi="Arial" w:cs="Arial"/>
        </w:rPr>
        <w:tab/>
        <w:t xml:space="preserve">Erin Simpson, </w:t>
      </w:r>
      <w:r w:rsidR="007D33FE">
        <w:rPr>
          <w:rFonts w:ascii="Arial" w:hAnsi="Arial" w:cs="Arial"/>
        </w:rPr>
        <w:t>Capability Development Manager,</w:t>
      </w:r>
      <w:r w:rsidRPr="00510102">
        <w:rPr>
          <w:rFonts w:ascii="Arial" w:hAnsi="Arial" w:cs="Arial"/>
        </w:rPr>
        <w:t xml:space="preserve"> and Mike Chapman, Chief Executive</w:t>
      </w:r>
    </w:p>
    <w:p w14:paraId="2407EB43" w14:textId="5D85BD58" w:rsidR="0040270A" w:rsidRPr="00510102" w:rsidRDefault="0040270A" w:rsidP="00510102">
      <w:pPr>
        <w:spacing w:after="120"/>
        <w:ind w:left="2160" w:hanging="2160"/>
        <w:rPr>
          <w:rFonts w:ascii="Arial" w:hAnsi="Arial" w:cs="Arial"/>
        </w:rPr>
      </w:pPr>
      <w:r w:rsidRPr="00510102">
        <w:rPr>
          <w:rFonts w:ascii="Arial" w:hAnsi="Arial" w:cs="Arial"/>
          <w:b/>
          <w:bCs/>
        </w:rPr>
        <w:t>Email</w:t>
      </w:r>
      <w:r w:rsidR="00510102" w:rsidRPr="00510102">
        <w:rPr>
          <w:rFonts w:ascii="Arial" w:hAnsi="Arial" w:cs="Arial"/>
          <w:b/>
          <w:bCs/>
        </w:rPr>
        <w:t>s</w:t>
      </w:r>
      <w:r w:rsidRPr="00510102">
        <w:rPr>
          <w:rFonts w:ascii="Arial" w:hAnsi="Arial" w:cs="Arial"/>
          <w:b/>
          <w:bCs/>
        </w:rPr>
        <w:t>:</w:t>
      </w:r>
      <w:r w:rsidRPr="00510102">
        <w:rPr>
          <w:rFonts w:ascii="Arial" w:hAnsi="Arial" w:cs="Arial"/>
        </w:rPr>
        <w:t xml:space="preserve"> </w:t>
      </w:r>
      <w:r w:rsidR="00510102" w:rsidRPr="00510102">
        <w:rPr>
          <w:rFonts w:ascii="Arial" w:hAnsi="Arial" w:cs="Arial"/>
        </w:rPr>
        <w:tab/>
      </w:r>
      <w:hyperlink r:id="rId7" w:history="1">
        <w:r w:rsidR="00510102" w:rsidRPr="00510102">
          <w:rPr>
            <w:rStyle w:val="Hyperlink"/>
            <w:rFonts w:ascii="Arial" w:hAnsi="Arial" w:cs="Arial"/>
          </w:rPr>
          <w:t>Erin@applesandpears.nz</w:t>
        </w:r>
      </w:hyperlink>
      <w:r w:rsidR="00510102" w:rsidRPr="00510102">
        <w:rPr>
          <w:rFonts w:ascii="Arial" w:hAnsi="Arial" w:cs="Arial"/>
        </w:rPr>
        <w:t xml:space="preserve">  and </w:t>
      </w:r>
      <w:hyperlink r:id="rId8" w:history="1">
        <w:r w:rsidR="007D33FE" w:rsidRPr="002A107D">
          <w:rPr>
            <w:rStyle w:val="Hyperlink"/>
            <w:rFonts w:ascii="Arial" w:hAnsi="Arial" w:cs="Arial"/>
          </w:rPr>
          <w:t>mike.chapman@hortnz.co.nz</w:t>
        </w:r>
      </w:hyperlink>
      <w:r w:rsidR="007D33FE">
        <w:rPr>
          <w:rFonts w:ascii="Arial" w:hAnsi="Arial" w:cs="Arial"/>
        </w:rPr>
        <w:t xml:space="preserve"> </w:t>
      </w:r>
    </w:p>
    <w:p w14:paraId="315A10A1" w14:textId="5A8F6A7C" w:rsidR="0040270A" w:rsidRPr="00510102" w:rsidRDefault="0040270A">
      <w:pPr>
        <w:rPr>
          <w:rFonts w:ascii="Arial" w:hAnsi="Arial" w:cs="Arial"/>
        </w:rPr>
      </w:pPr>
    </w:p>
    <w:p w14:paraId="1BF1BB05" w14:textId="58804823" w:rsidR="00A1470B" w:rsidRPr="00510102" w:rsidRDefault="00A1470B">
      <w:pPr>
        <w:rPr>
          <w:rFonts w:ascii="Arial" w:hAnsi="Arial" w:cs="Arial"/>
        </w:rPr>
      </w:pPr>
    </w:p>
    <w:p w14:paraId="4C5C4247" w14:textId="2CBA56C7" w:rsidR="0040270A" w:rsidRPr="00510102" w:rsidRDefault="00510102">
      <w:pPr>
        <w:rPr>
          <w:rFonts w:ascii="Arial" w:hAnsi="Arial" w:cs="Arial"/>
          <w:b/>
          <w:bCs/>
        </w:rPr>
      </w:pPr>
      <w:r w:rsidRPr="00510102">
        <w:rPr>
          <w:rFonts w:ascii="Arial" w:hAnsi="Arial" w:cs="Arial"/>
          <w:b/>
          <w:bCs/>
        </w:rPr>
        <w:t>Introduction</w:t>
      </w:r>
    </w:p>
    <w:p w14:paraId="3E3195DA" w14:textId="0F4EA30A" w:rsidR="0040270A" w:rsidRPr="00510102" w:rsidRDefault="0040270A">
      <w:pPr>
        <w:rPr>
          <w:rFonts w:ascii="Arial" w:hAnsi="Arial" w:cs="Arial"/>
        </w:rPr>
      </w:pPr>
    </w:p>
    <w:p w14:paraId="6ACCB532" w14:textId="74F7FD80" w:rsidR="00510102" w:rsidRPr="00510102" w:rsidRDefault="00510102" w:rsidP="00510102">
      <w:pPr>
        <w:rPr>
          <w:rFonts w:ascii="Arial" w:hAnsi="Arial" w:cs="Arial"/>
        </w:rPr>
      </w:pPr>
      <w:r>
        <w:rPr>
          <w:rFonts w:ascii="Arial" w:hAnsi="Arial" w:cs="Arial"/>
        </w:rPr>
        <w:t xml:space="preserve">The New Zealand Horticulture welcomes the opportunity to make a submission on the Workforce Development Councils (WDC) Orders in Councils (OiC).  </w:t>
      </w:r>
      <w:r w:rsidRPr="00510102">
        <w:rPr>
          <w:rFonts w:ascii="Arial" w:hAnsi="Arial" w:cs="Arial"/>
          <w:lang w:val="en-US"/>
        </w:rPr>
        <w:t xml:space="preserve">In preparation for making this submission, we consulted with the horticulture industry’s </w:t>
      </w:r>
      <w:r>
        <w:rPr>
          <w:rFonts w:ascii="Arial" w:hAnsi="Arial" w:cs="Arial"/>
          <w:lang w:val="en-US"/>
        </w:rPr>
        <w:t>growers and representative groups.</w:t>
      </w:r>
      <w:r w:rsidRPr="00510102">
        <w:rPr>
          <w:rFonts w:ascii="Arial" w:hAnsi="Arial" w:cs="Arial"/>
          <w:lang w:val="en-US"/>
        </w:rPr>
        <w:t xml:space="preserve">  Their views are accordingly incorporated into this document, which brings together their feedback.  This submission is jointly made by </w:t>
      </w:r>
      <w:r w:rsidRPr="00510102">
        <w:rPr>
          <w:rFonts w:ascii="Arial" w:hAnsi="Arial" w:cs="Arial"/>
        </w:rPr>
        <w:t xml:space="preserve">New Zealand Apples &amp; Pears and Horticulture New Zealand Incorporated, on behalf of the sector.  This submission is also supported by the </w:t>
      </w:r>
      <w:r>
        <w:rPr>
          <w:rFonts w:ascii="Arial" w:hAnsi="Arial" w:cs="Arial"/>
        </w:rPr>
        <w:t xml:space="preserve">following organisations:  </w:t>
      </w:r>
      <w:r w:rsidRPr="00510102">
        <w:rPr>
          <w:rFonts w:ascii="Arial" w:hAnsi="Arial" w:cs="Arial"/>
          <w:highlight w:val="yellow"/>
        </w:rPr>
        <w:t>XXX</w:t>
      </w:r>
      <w:r>
        <w:rPr>
          <w:rFonts w:ascii="Arial" w:hAnsi="Arial" w:cs="Arial"/>
        </w:rPr>
        <w:t xml:space="preserve"> </w:t>
      </w:r>
      <w:r w:rsidRPr="00510102">
        <w:rPr>
          <w:rFonts w:ascii="Arial" w:hAnsi="Arial" w:cs="Arial"/>
        </w:rPr>
        <w:t>Potatoes New Zealand.</w:t>
      </w:r>
    </w:p>
    <w:p w14:paraId="2AA04A62" w14:textId="77777777" w:rsidR="00510102" w:rsidRDefault="00510102" w:rsidP="00510102">
      <w:pPr>
        <w:rPr>
          <w:rFonts w:ascii="Arial" w:hAnsi="Arial" w:cs="Arial"/>
        </w:rPr>
      </w:pPr>
    </w:p>
    <w:p w14:paraId="4A5037CC" w14:textId="4240A9B1" w:rsidR="00510102" w:rsidRPr="00510102" w:rsidRDefault="00510102" w:rsidP="00510102">
      <w:pPr>
        <w:rPr>
          <w:rFonts w:ascii="Arial" w:hAnsi="Arial" w:cs="Arial"/>
        </w:rPr>
      </w:pPr>
      <w:r w:rsidRPr="00510102">
        <w:rPr>
          <w:rFonts w:ascii="Arial" w:hAnsi="Arial" w:cs="Arial"/>
        </w:rPr>
        <w:t>The horticulture industry is valued at $</w:t>
      </w:r>
      <w:r w:rsidR="00490963">
        <w:rPr>
          <w:rFonts w:ascii="Arial" w:hAnsi="Arial" w:cs="Arial"/>
        </w:rPr>
        <w:t>7</w:t>
      </w:r>
      <w:r w:rsidRPr="00510102">
        <w:rPr>
          <w:rFonts w:ascii="Arial" w:hAnsi="Arial" w:cs="Arial"/>
        </w:rPr>
        <w:t xml:space="preserve"> billion, employs than 60,000 people, grows fruit, berries and vegetables on 80,000 hectares of land and is an integral part of the regional economies in Northland, Auckland, Bay of Plenty, Hawke’s Bay, Gisborne, Manawatu, Marlborough, Nelson, Canterbury and Central Otago (Ministry of Primary Industries March 2020).</w:t>
      </w:r>
    </w:p>
    <w:p w14:paraId="07DF1F7B" w14:textId="15C75E45" w:rsidR="00510102" w:rsidRDefault="00510102">
      <w:pPr>
        <w:rPr>
          <w:rFonts w:ascii="Arial" w:hAnsi="Arial" w:cs="Arial"/>
        </w:rPr>
      </w:pPr>
    </w:p>
    <w:p w14:paraId="0A68794C" w14:textId="5F1F9A8D" w:rsidR="005760A8" w:rsidRDefault="00490963" w:rsidP="00497E39">
      <w:pPr>
        <w:rPr>
          <w:rFonts w:ascii="Arial" w:hAnsi="Arial" w:cs="Arial"/>
        </w:rPr>
      </w:pPr>
      <w:r>
        <w:rPr>
          <w:rFonts w:ascii="Arial" w:hAnsi="Arial" w:cs="Arial"/>
        </w:rPr>
        <w:t xml:space="preserve">We are concerned that the implementation of the vocation educational reforms is taking </w:t>
      </w:r>
      <w:r w:rsidR="00296A03">
        <w:rPr>
          <w:rFonts w:ascii="Arial" w:hAnsi="Arial" w:cs="Arial"/>
        </w:rPr>
        <w:t>some time</w:t>
      </w:r>
      <w:r>
        <w:rPr>
          <w:rFonts w:ascii="Arial" w:hAnsi="Arial" w:cs="Arial"/>
        </w:rPr>
        <w:t>.  We note that there is much yet to be done to implement the reforms.  Now more than ever before, as we grapple with the impact of Covid, we need to build a highly skilled workforce to enable continued production and growth.  The health and economic viability of New Zealand is dependent on a viable and growing primary sector of which horticulture is a critical contributor.</w:t>
      </w:r>
    </w:p>
    <w:p w14:paraId="76D8FFD2" w14:textId="7DDB24B4" w:rsidR="00490963" w:rsidRDefault="00490963" w:rsidP="00497E39">
      <w:pPr>
        <w:rPr>
          <w:rFonts w:ascii="Arial" w:hAnsi="Arial" w:cs="Arial"/>
        </w:rPr>
      </w:pPr>
    </w:p>
    <w:p w14:paraId="5B1C12B0" w14:textId="3883E181" w:rsidR="00490963" w:rsidRDefault="00490963" w:rsidP="00497E39">
      <w:pPr>
        <w:rPr>
          <w:rFonts w:ascii="Arial" w:hAnsi="Arial" w:cs="Arial"/>
        </w:rPr>
      </w:pPr>
      <w:r>
        <w:rPr>
          <w:rFonts w:ascii="Arial" w:hAnsi="Arial" w:cs="Arial"/>
        </w:rPr>
        <w:t>One of the key principles of vocation education reforms was to put the learner, employer and the aspirations of industry at the forefront of future design and the provision of vocational education.  We are concerned to note that this principle is being watered down as is evidenced in the WDC OiC.</w:t>
      </w:r>
    </w:p>
    <w:p w14:paraId="366ED513" w14:textId="54F1111E" w:rsidR="00490963" w:rsidRDefault="00490963" w:rsidP="00497E39">
      <w:pPr>
        <w:rPr>
          <w:rFonts w:ascii="Arial" w:hAnsi="Arial" w:cs="Arial"/>
        </w:rPr>
      </w:pPr>
    </w:p>
    <w:p w14:paraId="3F2A9639" w14:textId="023FAE66" w:rsidR="00490963" w:rsidRDefault="00490963" w:rsidP="00497E39">
      <w:pPr>
        <w:rPr>
          <w:rFonts w:ascii="Arial" w:hAnsi="Arial" w:cs="Arial"/>
        </w:rPr>
      </w:pPr>
      <w:r>
        <w:rPr>
          <w:rFonts w:ascii="Arial" w:hAnsi="Arial" w:cs="Arial"/>
        </w:rPr>
        <w:t xml:space="preserve">The OiC has become too generic and leaves many important issues for the WDC to formulate themselves without adequate input from learners, employers and </w:t>
      </w:r>
      <w:r w:rsidR="00BB7218">
        <w:rPr>
          <w:rFonts w:ascii="Arial" w:hAnsi="Arial" w:cs="Arial"/>
        </w:rPr>
        <w:t>industry.  These concerns are summarised as follows:</w:t>
      </w:r>
    </w:p>
    <w:p w14:paraId="60123B12" w14:textId="77777777" w:rsidR="00BB7218" w:rsidRDefault="00BB7218" w:rsidP="00497E39">
      <w:pPr>
        <w:rPr>
          <w:rFonts w:ascii="Arial" w:hAnsi="Arial" w:cs="Arial"/>
        </w:rPr>
      </w:pPr>
    </w:p>
    <w:p w14:paraId="0112DA2B" w14:textId="1F9774B1" w:rsidR="00876894" w:rsidRPr="00876894" w:rsidRDefault="00876894" w:rsidP="00876894">
      <w:pPr>
        <w:numPr>
          <w:ilvl w:val="0"/>
          <w:numId w:val="10"/>
        </w:numPr>
        <w:rPr>
          <w:rFonts w:ascii="Arial" w:hAnsi="Arial" w:cs="Arial"/>
          <w:lang w:val="en-US"/>
        </w:rPr>
      </w:pPr>
      <w:r w:rsidRPr="00876894">
        <w:rPr>
          <w:rFonts w:ascii="Arial" w:hAnsi="Arial" w:cs="Arial"/>
          <w:lang w:val="en-US"/>
        </w:rPr>
        <w:t>The purpose of the WDC requires greater focus toward meeting the needs of the employer and th</w:t>
      </w:r>
      <w:r>
        <w:rPr>
          <w:rFonts w:ascii="Arial" w:hAnsi="Arial" w:cs="Arial"/>
          <w:lang w:val="en-US"/>
        </w:rPr>
        <w:t>erefore</w:t>
      </w:r>
      <w:r w:rsidRPr="00876894">
        <w:rPr>
          <w:rFonts w:ascii="Arial" w:hAnsi="Arial" w:cs="Arial"/>
          <w:lang w:val="en-US"/>
        </w:rPr>
        <w:t xml:space="preserve"> providing the learners with skills and abilities that will increase their marketability. Success should not measured in qualifications gained, </w:t>
      </w:r>
      <w:r w:rsidRPr="00876894">
        <w:rPr>
          <w:rFonts w:ascii="Arial" w:hAnsi="Arial" w:cs="Arial"/>
          <w:lang w:val="en-US"/>
        </w:rPr>
        <w:lastRenderedPageBreak/>
        <w:t>but the extent to which employers value those qualifications, making the system demand and not supply led.</w:t>
      </w:r>
    </w:p>
    <w:p w14:paraId="4B485958" w14:textId="17B9283F" w:rsidR="00876894" w:rsidRPr="00876894" w:rsidRDefault="00876894" w:rsidP="00876894">
      <w:pPr>
        <w:numPr>
          <w:ilvl w:val="0"/>
          <w:numId w:val="10"/>
        </w:numPr>
        <w:rPr>
          <w:rFonts w:ascii="Arial" w:hAnsi="Arial" w:cs="Arial"/>
          <w:lang w:val="en-US"/>
        </w:rPr>
      </w:pPr>
      <w:r w:rsidRPr="00876894">
        <w:rPr>
          <w:rFonts w:ascii="Arial" w:hAnsi="Arial" w:cs="Arial"/>
          <w:lang w:val="en-US"/>
        </w:rPr>
        <w:t xml:space="preserve">The WDC should facilitate and coordinate existing industry voice on educational matters </w:t>
      </w:r>
      <w:r w:rsidR="00296A03">
        <w:rPr>
          <w:rFonts w:ascii="Arial" w:hAnsi="Arial" w:cs="Arial"/>
          <w:lang w:val="en-US"/>
        </w:rPr>
        <w:t xml:space="preserve">and should </w:t>
      </w:r>
      <w:r w:rsidRPr="00876894">
        <w:rPr>
          <w:rFonts w:ascii="Arial" w:hAnsi="Arial" w:cs="Arial"/>
          <w:lang w:val="en-US"/>
        </w:rPr>
        <w:t xml:space="preserve">not try </w:t>
      </w:r>
      <w:r w:rsidR="00296A03">
        <w:rPr>
          <w:rFonts w:ascii="Arial" w:hAnsi="Arial" w:cs="Arial"/>
          <w:lang w:val="en-US"/>
        </w:rPr>
        <w:t>to</w:t>
      </w:r>
      <w:r w:rsidRPr="00876894">
        <w:rPr>
          <w:rFonts w:ascii="Arial" w:hAnsi="Arial" w:cs="Arial"/>
          <w:lang w:val="en-US"/>
        </w:rPr>
        <w:t xml:space="preserve"> supplant it. A unique aspect of or sector is the number of industry bodies able to provide that voice</w:t>
      </w:r>
      <w:r>
        <w:rPr>
          <w:rFonts w:ascii="Arial" w:hAnsi="Arial" w:cs="Arial"/>
          <w:lang w:val="en-US"/>
        </w:rPr>
        <w:t xml:space="preserve"> including the </w:t>
      </w:r>
      <w:r w:rsidR="00ED28D7" w:rsidRPr="007D33FE">
        <w:rPr>
          <w:rFonts w:ascii="Arial" w:hAnsi="Arial" w:cs="Arial"/>
          <w:lang w:val="en-US"/>
        </w:rPr>
        <w:t>Food and Fibre</w:t>
      </w:r>
      <w:r w:rsidRPr="007D33FE">
        <w:rPr>
          <w:rFonts w:ascii="Arial" w:hAnsi="Arial" w:cs="Arial"/>
          <w:lang w:val="en-US"/>
        </w:rPr>
        <w:t xml:space="preserve"> Centre</w:t>
      </w:r>
      <w:r>
        <w:rPr>
          <w:rFonts w:ascii="Arial" w:hAnsi="Arial" w:cs="Arial"/>
          <w:lang w:val="en-US"/>
        </w:rPr>
        <w:t xml:space="preserve"> of Vocational Excellence</w:t>
      </w:r>
      <w:r w:rsidR="00ED28D7">
        <w:rPr>
          <w:rFonts w:ascii="Arial" w:hAnsi="Arial" w:cs="Arial"/>
          <w:lang w:val="en-US"/>
        </w:rPr>
        <w:t xml:space="preserve"> (COVE)</w:t>
      </w:r>
      <w:r w:rsidRPr="00876894">
        <w:rPr>
          <w:rFonts w:ascii="Arial" w:hAnsi="Arial" w:cs="Arial"/>
          <w:lang w:val="en-US"/>
        </w:rPr>
        <w:t>.  We must make sure these Organisations are complimentary and not in competition.</w:t>
      </w:r>
    </w:p>
    <w:p w14:paraId="319867E0" w14:textId="77777777" w:rsidR="00876894" w:rsidRPr="00876894" w:rsidRDefault="00876894" w:rsidP="00876894">
      <w:pPr>
        <w:numPr>
          <w:ilvl w:val="0"/>
          <w:numId w:val="10"/>
        </w:numPr>
        <w:rPr>
          <w:rFonts w:ascii="Arial" w:hAnsi="Arial" w:cs="Arial"/>
          <w:lang w:val="en-US"/>
        </w:rPr>
      </w:pPr>
      <w:r w:rsidRPr="00876894">
        <w:rPr>
          <w:rFonts w:ascii="Arial" w:hAnsi="Arial" w:cs="Arial"/>
          <w:lang w:val="en-US"/>
        </w:rPr>
        <w:t>The appointment process must consider industry representative balance in addition to the criteria listed.</w:t>
      </w:r>
    </w:p>
    <w:p w14:paraId="3ED5D8B0" w14:textId="49FF58B1" w:rsidR="00876894" w:rsidRPr="00876894" w:rsidRDefault="00876894" w:rsidP="00876894">
      <w:pPr>
        <w:numPr>
          <w:ilvl w:val="0"/>
          <w:numId w:val="10"/>
        </w:numPr>
        <w:rPr>
          <w:rFonts w:ascii="Arial" w:hAnsi="Arial" w:cs="Arial"/>
          <w:lang w:val="en-US"/>
        </w:rPr>
      </w:pPr>
      <w:r w:rsidRPr="00876894">
        <w:rPr>
          <w:rFonts w:ascii="Arial" w:hAnsi="Arial" w:cs="Arial"/>
          <w:lang w:val="en-US"/>
        </w:rPr>
        <w:t xml:space="preserve">There </w:t>
      </w:r>
      <w:r>
        <w:rPr>
          <w:rFonts w:ascii="Arial" w:hAnsi="Arial" w:cs="Arial"/>
          <w:lang w:val="en-US"/>
        </w:rPr>
        <w:t>must be a way</w:t>
      </w:r>
      <w:r w:rsidRPr="00876894">
        <w:rPr>
          <w:rFonts w:ascii="Arial" w:hAnsi="Arial" w:cs="Arial"/>
          <w:lang w:val="en-US"/>
        </w:rPr>
        <w:t xml:space="preserve"> for industry to hold the WDC </w:t>
      </w:r>
      <w:r>
        <w:rPr>
          <w:rFonts w:ascii="Arial" w:hAnsi="Arial" w:cs="Arial"/>
          <w:lang w:val="en-US"/>
        </w:rPr>
        <w:t>and</w:t>
      </w:r>
      <w:r w:rsidRPr="00876894">
        <w:rPr>
          <w:rFonts w:ascii="Arial" w:hAnsi="Arial" w:cs="Arial"/>
          <w:lang w:val="en-US"/>
        </w:rPr>
        <w:t xml:space="preserve"> its governors accountable. </w:t>
      </w:r>
    </w:p>
    <w:p w14:paraId="2CE6A963" w14:textId="3DD1403C" w:rsidR="00876894" w:rsidRPr="00876894" w:rsidRDefault="00876894" w:rsidP="00876894">
      <w:pPr>
        <w:numPr>
          <w:ilvl w:val="0"/>
          <w:numId w:val="10"/>
        </w:numPr>
        <w:rPr>
          <w:rFonts w:ascii="Arial" w:hAnsi="Arial" w:cs="Arial"/>
          <w:lang w:val="en-US"/>
        </w:rPr>
      </w:pPr>
      <w:r w:rsidRPr="00876894">
        <w:rPr>
          <w:rFonts w:ascii="Arial" w:hAnsi="Arial" w:cs="Arial"/>
          <w:lang w:val="en-US"/>
        </w:rPr>
        <w:t>The O</w:t>
      </w:r>
      <w:r w:rsidR="00446C09">
        <w:rPr>
          <w:rFonts w:ascii="Arial" w:hAnsi="Arial" w:cs="Arial"/>
          <w:lang w:val="en-US"/>
        </w:rPr>
        <w:t>i</w:t>
      </w:r>
      <w:r w:rsidRPr="00876894">
        <w:rPr>
          <w:rFonts w:ascii="Arial" w:hAnsi="Arial" w:cs="Arial"/>
          <w:lang w:val="en-US"/>
        </w:rPr>
        <w:t>C must compel the WDC to work with industry to implement rules on critical process such as appointments and monitoring performance.</w:t>
      </w:r>
    </w:p>
    <w:p w14:paraId="27FCFF73" w14:textId="77777777" w:rsidR="00876894" w:rsidRPr="00876894" w:rsidRDefault="00876894" w:rsidP="00876894">
      <w:pPr>
        <w:numPr>
          <w:ilvl w:val="0"/>
          <w:numId w:val="10"/>
        </w:numPr>
        <w:rPr>
          <w:rFonts w:ascii="Arial" w:hAnsi="Arial" w:cs="Arial"/>
          <w:lang w:val="en-US"/>
        </w:rPr>
      </w:pPr>
      <w:r w:rsidRPr="00876894">
        <w:rPr>
          <w:rFonts w:ascii="Arial" w:hAnsi="Arial" w:cs="Arial"/>
          <w:lang w:val="en-US"/>
        </w:rPr>
        <w:t xml:space="preserve">Additional functions are recommended to: </w:t>
      </w:r>
    </w:p>
    <w:p w14:paraId="2FE0B95E" w14:textId="7DFA0329" w:rsidR="00876894" w:rsidRPr="00876894" w:rsidRDefault="00876894" w:rsidP="00876894">
      <w:pPr>
        <w:numPr>
          <w:ilvl w:val="1"/>
          <w:numId w:val="11"/>
        </w:numPr>
        <w:rPr>
          <w:rFonts w:ascii="Arial" w:hAnsi="Arial" w:cs="Arial"/>
          <w:lang w:val="en-US"/>
        </w:rPr>
      </w:pPr>
      <w:r w:rsidRPr="00876894">
        <w:rPr>
          <w:rFonts w:ascii="Arial" w:hAnsi="Arial" w:cs="Arial"/>
          <w:lang w:val="en-US"/>
        </w:rPr>
        <w:t>Compel the WDC to consider the wider education system in resolving workforce challenges</w:t>
      </w:r>
    </w:p>
    <w:p w14:paraId="5B3415C7" w14:textId="77777777" w:rsidR="00876894" w:rsidRPr="00876894" w:rsidRDefault="00876894" w:rsidP="00876894">
      <w:pPr>
        <w:numPr>
          <w:ilvl w:val="1"/>
          <w:numId w:val="11"/>
        </w:numPr>
        <w:rPr>
          <w:rFonts w:ascii="Arial" w:hAnsi="Arial" w:cs="Arial"/>
          <w:lang w:val="en-US"/>
        </w:rPr>
      </w:pPr>
      <w:r w:rsidRPr="00876894">
        <w:rPr>
          <w:rFonts w:ascii="Arial" w:hAnsi="Arial" w:cs="Arial"/>
          <w:lang w:val="en-US"/>
        </w:rPr>
        <w:t>Enable the WDC to do the right thing for industry, rather than constrain them through legislation.</w:t>
      </w:r>
    </w:p>
    <w:p w14:paraId="783449D5" w14:textId="77777777" w:rsidR="00876894" w:rsidRPr="00876894" w:rsidRDefault="00876894" w:rsidP="00876894">
      <w:pPr>
        <w:rPr>
          <w:rFonts w:ascii="Arial" w:hAnsi="Arial" w:cs="Arial"/>
          <w:lang w:val="en-US"/>
        </w:rPr>
      </w:pPr>
    </w:p>
    <w:p w14:paraId="090168B8" w14:textId="2E31B682" w:rsidR="00876894" w:rsidRPr="00876894" w:rsidRDefault="00446C09" w:rsidP="00876894">
      <w:pPr>
        <w:rPr>
          <w:rFonts w:ascii="Arial" w:hAnsi="Arial" w:cs="Arial"/>
          <w:lang w:val="en-US"/>
        </w:rPr>
      </w:pPr>
      <w:r>
        <w:rPr>
          <w:rFonts w:ascii="Arial" w:hAnsi="Arial" w:cs="Arial"/>
          <w:lang w:val="en-US"/>
        </w:rPr>
        <w:t xml:space="preserve">We </w:t>
      </w:r>
      <w:r w:rsidR="00876894" w:rsidRPr="00876894">
        <w:rPr>
          <w:rFonts w:ascii="Arial" w:hAnsi="Arial" w:cs="Arial"/>
          <w:lang w:val="en-US"/>
        </w:rPr>
        <w:t xml:space="preserve">look forward to the opportunity to discuss this submission in more detail with </w:t>
      </w:r>
      <w:r>
        <w:rPr>
          <w:rFonts w:ascii="Arial" w:hAnsi="Arial" w:cs="Arial"/>
          <w:lang w:val="en-US"/>
        </w:rPr>
        <w:t>O</w:t>
      </w:r>
      <w:r w:rsidR="00876894" w:rsidRPr="00876894">
        <w:rPr>
          <w:rFonts w:ascii="Arial" w:hAnsi="Arial" w:cs="Arial"/>
          <w:lang w:val="en-US"/>
        </w:rPr>
        <w:t>fficials.</w:t>
      </w:r>
    </w:p>
    <w:p w14:paraId="23EC2D1D" w14:textId="368B7FB0" w:rsidR="00490963" w:rsidRDefault="00490963" w:rsidP="00497E39">
      <w:pPr>
        <w:rPr>
          <w:rFonts w:ascii="Arial" w:hAnsi="Arial" w:cs="Arial"/>
        </w:rPr>
      </w:pPr>
    </w:p>
    <w:p w14:paraId="496914D8" w14:textId="77777777" w:rsidR="00490963" w:rsidRPr="00510102" w:rsidRDefault="00490963" w:rsidP="00497E39">
      <w:pPr>
        <w:rPr>
          <w:rFonts w:ascii="Arial" w:hAnsi="Arial" w:cs="Arial"/>
        </w:rPr>
      </w:pPr>
    </w:p>
    <w:p w14:paraId="65021F44" w14:textId="6350BF34" w:rsidR="005760A8" w:rsidRPr="00510102" w:rsidRDefault="00446C09" w:rsidP="00497E39">
      <w:pPr>
        <w:rPr>
          <w:rFonts w:ascii="Arial" w:hAnsi="Arial" w:cs="Arial"/>
          <w:b/>
          <w:bCs/>
        </w:rPr>
      </w:pPr>
      <w:r>
        <w:rPr>
          <w:rFonts w:ascii="Arial" w:hAnsi="Arial" w:cs="Arial"/>
          <w:b/>
          <w:bCs/>
        </w:rPr>
        <w:t>Detailed Feedback:</w:t>
      </w:r>
    </w:p>
    <w:p w14:paraId="1D76588F" w14:textId="77777777" w:rsidR="005760A8" w:rsidRPr="00510102" w:rsidRDefault="005760A8" w:rsidP="00497E39">
      <w:pPr>
        <w:rPr>
          <w:rFonts w:ascii="Arial" w:hAnsi="Arial" w:cs="Arial"/>
        </w:rPr>
      </w:pPr>
    </w:p>
    <w:tbl>
      <w:tblPr>
        <w:tblW w:w="5000" w:type="pct"/>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CellMar>
          <w:left w:w="0" w:type="dxa"/>
          <w:right w:w="0" w:type="dxa"/>
        </w:tblCellMar>
        <w:tblLook w:val="01E0" w:firstRow="1" w:lastRow="1" w:firstColumn="1" w:lastColumn="1" w:noHBand="0" w:noVBand="0"/>
      </w:tblPr>
      <w:tblGrid>
        <w:gridCol w:w="2263"/>
        <w:gridCol w:w="3403"/>
        <w:gridCol w:w="3350"/>
      </w:tblGrid>
      <w:tr w:rsidR="001E013F" w:rsidRPr="00510102" w14:paraId="7A56F8CD" w14:textId="77777777" w:rsidTr="001E013F">
        <w:trPr>
          <w:trHeight w:val="563"/>
        </w:trPr>
        <w:tc>
          <w:tcPr>
            <w:tcW w:w="1255" w:type="pct"/>
            <w:shd w:val="clear" w:color="auto" w:fill="0096A7"/>
          </w:tcPr>
          <w:p w14:paraId="253E0D15" w14:textId="022471B5" w:rsidR="001E013F" w:rsidRPr="00510102" w:rsidRDefault="001E013F" w:rsidP="001E013F">
            <w:pPr>
              <w:ind w:right="-8"/>
              <w:jc w:val="center"/>
              <w:rPr>
                <w:rFonts w:ascii="Arial" w:hAnsi="Arial" w:cs="Arial"/>
                <w:b/>
                <w:lang w:bidi="en-NZ"/>
              </w:rPr>
            </w:pPr>
            <w:r w:rsidRPr="00510102">
              <w:rPr>
                <w:rFonts w:ascii="Arial" w:hAnsi="Arial" w:cs="Arial"/>
                <w:b/>
                <w:lang w:bidi="en-NZ"/>
              </w:rPr>
              <w:t>Issues / Topic</w:t>
            </w:r>
          </w:p>
        </w:tc>
        <w:tc>
          <w:tcPr>
            <w:tcW w:w="1887" w:type="pct"/>
            <w:shd w:val="clear" w:color="auto" w:fill="0096A7"/>
          </w:tcPr>
          <w:p w14:paraId="4B6350AD" w14:textId="0B6DEB4C" w:rsidR="001E013F" w:rsidRPr="00510102" w:rsidRDefault="001E013F" w:rsidP="00497E39">
            <w:pPr>
              <w:jc w:val="center"/>
              <w:rPr>
                <w:rFonts w:ascii="Arial" w:hAnsi="Arial" w:cs="Arial"/>
                <w:b/>
                <w:lang w:bidi="en-NZ"/>
              </w:rPr>
            </w:pPr>
            <w:r w:rsidRPr="00510102">
              <w:rPr>
                <w:rFonts w:ascii="Arial" w:hAnsi="Arial" w:cs="Arial"/>
                <w:b/>
                <w:lang w:bidi="en-NZ"/>
              </w:rPr>
              <w:t>Government’s Proposal</w:t>
            </w:r>
          </w:p>
        </w:tc>
        <w:tc>
          <w:tcPr>
            <w:tcW w:w="1858" w:type="pct"/>
            <w:shd w:val="clear" w:color="auto" w:fill="0096A7"/>
          </w:tcPr>
          <w:p w14:paraId="5888AC54" w14:textId="09FB83F4" w:rsidR="001E013F" w:rsidRPr="00510102" w:rsidRDefault="001E013F" w:rsidP="00497E39">
            <w:pPr>
              <w:jc w:val="center"/>
              <w:rPr>
                <w:rFonts w:ascii="Arial" w:hAnsi="Arial" w:cs="Arial"/>
                <w:b/>
                <w:lang w:bidi="en-NZ"/>
              </w:rPr>
            </w:pPr>
            <w:r w:rsidRPr="00510102">
              <w:rPr>
                <w:rFonts w:ascii="Arial" w:hAnsi="Arial" w:cs="Arial"/>
                <w:b/>
                <w:lang w:bidi="en-NZ"/>
              </w:rPr>
              <w:t>Hort Submission</w:t>
            </w:r>
          </w:p>
        </w:tc>
      </w:tr>
      <w:tr w:rsidR="001E013F" w:rsidRPr="00510102" w14:paraId="4E5441C5" w14:textId="77777777" w:rsidTr="001E013F">
        <w:trPr>
          <w:trHeight w:val="2762"/>
        </w:trPr>
        <w:tc>
          <w:tcPr>
            <w:tcW w:w="1255" w:type="pct"/>
          </w:tcPr>
          <w:p w14:paraId="69301E31" w14:textId="1B9AD74C" w:rsidR="001E013F" w:rsidRPr="00510102" w:rsidRDefault="001E013F" w:rsidP="001D4A69">
            <w:pPr>
              <w:rPr>
                <w:rFonts w:ascii="Arial" w:hAnsi="Arial" w:cs="Arial"/>
                <w:b/>
                <w:lang w:bidi="en-NZ"/>
              </w:rPr>
            </w:pPr>
            <w:r w:rsidRPr="00510102">
              <w:rPr>
                <w:rFonts w:ascii="Arial" w:hAnsi="Arial" w:cs="Arial"/>
                <w:b/>
                <w:lang w:bidi="en-NZ"/>
              </w:rPr>
              <w:t>Primary Industries WDC Coverage</w:t>
            </w:r>
          </w:p>
        </w:tc>
        <w:tc>
          <w:tcPr>
            <w:tcW w:w="1887" w:type="pct"/>
          </w:tcPr>
          <w:p w14:paraId="76033529" w14:textId="2072A935" w:rsidR="001E013F" w:rsidRPr="00510102" w:rsidRDefault="001E013F" w:rsidP="001D4A69">
            <w:pPr>
              <w:rPr>
                <w:rFonts w:ascii="Arial" w:hAnsi="Arial" w:cs="Arial"/>
                <w:lang w:bidi="en-NZ"/>
              </w:rPr>
            </w:pPr>
            <w:r w:rsidRPr="00510102">
              <w:rPr>
                <w:rFonts w:ascii="Arial" w:hAnsi="Arial" w:cs="Arial"/>
                <w:i/>
                <w:iCs/>
                <w:lang w:bidi="en-NZ"/>
              </w:rPr>
              <w:t>pages 22 to 24 of the Consultation Proposal document</w:t>
            </w:r>
          </w:p>
        </w:tc>
        <w:tc>
          <w:tcPr>
            <w:tcW w:w="1858" w:type="pct"/>
          </w:tcPr>
          <w:p w14:paraId="741B4D4B" w14:textId="3B2AA74B" w:rsidR="001E013F" w:rsidRPr="00510102" w:rsidRDefault="001E013F" w:rsidP="001D4A69">
            <w:pPr>
              <w:rPr>
                <w:rFonts w:ascii="Arial" w:hAnsi="Arial" w:cs="Arial"/>
                <w:lang w:bidi="en-NZ"/>
              </w:rPr>
            </w:pPr>
            <w:r w:rsidRPr="00510102">
              <w:rPr>
                <w:rFonts w:ascii="Arial" w:hAnsi="Arial" w:cs="Arial"/>
                <w:lang w:bidi="en-NZ"/>
              </w:rPr>
              <w:t xml:space="preserve">Support </w:t>
            </w:r>
          </w:p>
        </w:tc>
      </w:tr>
      <w:tr w:rsidR="001E013F" w:rsidRPr="00510102" w14:paraId="2C215C97" w14:textId="77777777" w:rsidTr="001E013F">
        <w:trPr>
          <w:trHeight w:val="2762"/>
        </w:trPr>
        <w:tc>
          <w:tcPr>
            <w:tcW w:w="1255" w:type="pct"/>
          </w:tcPr>
          <w:p w14:paraId="7B742AF4" w14:textId="5FE915DC" w:rsidR="001E013F" w:rsidRPr="00510102" w:rsidRDefault="001E013F" w:rsidP="001D4A69">
            <w:pPr>
              <w:rPr>
                <w:rFonts w:ascii="Arial" w:hAnsi="Arial" w:cs="Arial"/>
                <w:b/>
                <w:lang w:bidi="en-NZ"/>
              </w:rPr>
            </w:pPr>
            <w:r w:rsidRPr="00510102">
              <w:rPr>
                <w:rFonts w:ascii="Arial" w:hAnsi="Arial" w:cs="Arial"/>
                <w:b/>
                <w:lang w:bidi="en-NZ"/>
              </w:rPr>
              <w:t>Proposed legal name</w:t>
            </w:r>
          </w:p>
        </w:tc>
        <w:tc>
          <w:tcPr>
            <w:tcW w:w="1887" w:type="pct"/>
          </w:tcPr>
          <w:p w14:paraId="32A0D278" w14:textId="56EFA225" w:rsidR="001E013F" w:rsidRPr="00510102" w:rsidRDefault="001E013F" w:rsidP="001D4A69">
            <w:pPr>
              <w:rPr>
                <w:rFonts w:ascii="Arial" w:hAnsi="Arial" w:cs="Arial"/>
                <w:lang w:bidi="en-NZ"/>
              </w:rPr>
            </w:pPr>
            <w:r w:rsidRPr="00510102">
              <w:rPr>
                <w:rFonts w:ascii="Arial" w:hAnsi="Arial" w:cs="Arial"/>
                <w:lang w:bidi="en-NZ"/>
              </w:rPr>
              <w:t>Muka Tangata People, Food and Fibre Workforce Development Council.</w:t>
            </w:r>
          </w:p>
        </w:tc>
        <w:tc>
          <w:tcPr>
            <w:tcW w:w="1858" w:type="pct"/>
          </w:tcPr>
          <w:p w14:paraId="4B021919" w14:textId="77777777" w:rsidR="001E013F" w:rsidRDefault="001E013F" w:rsidP="001D4A69">
            <w:pPr>
              <w:rPr>
                <w:rFonts w:ascii="Arial" w:hAnsi="Arial" w:cs="Arial"/>
                <w:lang w:bidi="en-NZ"/>
              </w:rPr>
            </w:pPr>
            <w:r w:rsidRPr="00510102">
              <w:rPr>
                <w:rFonts w:ascii="Arial" w:hAnsi="Arial" w:cs="Arial"/>
                <w:lang w:bidi="en-NZ"/>
              </w:rPr>
              <w:t xml:space="preserve">Support </w:t>
            </w:r>
          </w:p>
          <w:p w14:paraId="5EB71AEF" w14:textId="5C0F664A" w:rsidR="00446C09" w:rsidRPr="00510102" w:rsidRDefault="00446C09" w:rsidP="001D4A69">
            <w:pPr>
              <w:rPr>
                <w:rFonts w:ascii="Arial" w:hAnsi="Arial" w:cs="Arial"/>
                <w:lang w:bidi="en-NZ"/>
              </w:rPr>
            </w:pPr>
            <w:r>
              <w:rPr>
                <w:rFonts w:ascii="Arial" w:hAnsi="Arial" w:cs="Arial"/>
                <w:lang w:bidi="en-NZ"/>
              </w:rPr>
              <w:t>We further submit that for consistency and clarity that the term “Food and Fibre Sector” replace the use of “primary industries” – the two terms are used in different places throughout the OiC</w:t>
            </w:r>
          </w:p>
        </w:tc>
      </w:tr>
      <w:tr w:rsidR="001E013F" w:rsidRPr="00510102" w14:paraId="47289B96" w14:textId="77777777" w:rsidTr="001E013F">
        <w:trPr>
          <w:trHeight w:val="2762"/>
        </w:trPr>
        <w:tc>
          <w:tcPr>
            <w:tcW w:w="1255" w:type="pct"/>
          </w:tcPr>
          <w:p w14:paraId="7593D518" w14:textId="77777777" w:rsidR="001E013F" w:rsidRPr="00510102" w:rsidRDefault="001E013F" w:rsidP="001D4A69">
            <w:pPr>
              <w:rPr>
                <w:rFonts w:ascii="Arial" w:hAnsi="Arial" w:cs="Arial"/>
                <w:b/>
                <w:lang w:bidi="en-NZ"/>
              </w:rPr>
            </w:pPr>
            <w:r w:rsidRPr="00510102">
              <w:rPr>
                <w:rFonts w:ascii="Arial" w:hAnsi="Arial" w:cs="Arial"/>
                <w:b/>
                <w:lang w:bidi="en-NZ"/>
              </w:rPr>
              <w:lastRenderedPageBreak/>
              <w:t>Purpose statement</w:t>
            </w:r>
          </w:p>
          <w:p w14:paraId="4362E70A" w14:textId="77777777" w:rsidR="001E013F" w:rsidRPr="00510102" w:rsidRDefault="001E013F" w:rsidP="001D4A69">
            <w:pPr>
              <w:rPr>
                <w:rFonts w:ascii="Arial" w:hAnsi="Arial" w:cs="Arial"/>
                <w:b/>
                <w:lang w:bidi="en-NZ"/>
              </w:rPr>
            </w:pPr>
            <w:r w:rsidRPr="00510102">
              <w:rPr>
                <w:rFonts w:ascii="Arial" w:hAnsi="Arial" w:cs="Arial"/>
                <w:b/>
                <w:lang w:bidi="en-NZ"/>
              </w:rPr>
              <w:t>/ preamble</w:t>
            </w:r>
          </w:p>
        </w:tc>
        <w:tc>
          <w:tcPr>
            <w:tcW w:w="1887" w:type="pct"/>
          </w:tcPr>
          <w:p w14:paraId="458A2543" w14:textId="1A69EB72" w:rsidR="001E013F" w:rsidRPr="00510102" w:rsidRDefault="001E013F" w:rsidP="001D4A69">
            <w:pPr>
              <w:rPr>
                <w:rFonts w:ascii="Arial" w:hAnsi="Arial" w:cs="Arial"/>
                <w:lang w:bidi="en-NZ"/>
              </w:rPr>
            </w:pPr>
            <w:r w:rsidRPr="00510102">
              <w:rPr>
                <w:rFonts w:ascii="Arial" w:hAnsi="Arial" w:cs="Arial"/>
                <w:lang w:bidi="en-NZ"/>
              </w:rPr>
              <w:t>This is a general statement that sets out the purpose of the WDC</w:t>
            </w:r>
          </w:p>
          <w:p w14:paraId="0CD0572F" w14:textId="6C7A34B3" w:rsidR="001E013F" w:rsidRPr="00510102" w:rsidRDefault="001E013F" w:rsidP="001D4A69">
            <w:pPr>
              <w:rPr>
                <w:rFonts w:ascii="Arial" w:hAnsi="Arial" w:cs="Arial"/>
                <w:lang w:bidi="en-NZ"/>
              </w:rPr>
            </w:pPr>
          </w:p>
          <w:p w14:paraId="2744B163" w14:textId="0F035222" w:rsidR="001E013F" w:rsidRPr="00510102" w:rsidRDefault="001E013F" w:rsidP="001D4A69">
            <w:pPr>
              <w:rPr>
                <w:rFonts w:ascii="Arial" w:hAnsi="Arial" w:cs="Arial"/>
                <w:lang w:bidi="en-NZ"/>
              </w:rPr>
            </w:pPr>
            <w:r w:rsidRPr="00510102">
              <w:rPr>
                <w:rFonts w:ascii="Arial" w:hAnsi="Arial" w:cs="Arial"/>
                <w:lang w:bidi="en-NZ"/>
              </w:rPr>
              <w:t>Key purpose for hort</w:t>
            </w:r>
            <w:r w:rsidR="00446C09">
              <w:rPr>
                <w:rFonts w:ascii="Arial" w:hAnsi="Arial" w:cs="Arial"/>
                <w:lang w:bidi="en-NZ"/>
              </w:rPr>
              <w:t>iculture</w:t>
            </w:r>
            <w:r w:rsidRPr="00510102">
              <w:rPr>
                <w:rFonts w:ascii="Arial" w:hAnsi="Arial" w:cs="Arial"/>
                <w:lang w:bidi="en-NZ"/>
              </w:rPr>
              <w:t xml:space="preserve"> is:</w:t>
            </w:r>
          </w:p>
          <w:p w14:paraId="1EAA0C86" w14:textId="4C2CCAE2" w:rsidR="001E013F" w:rsidRPr="00510102" w:rsidRDefault="001E013F" w:rsidP="001D4A69">
            <w:pPr>
              <w:rPr>
                <w:rFonts w:ascii="Arial" w:hAnsi="Arial" w:cs="Arial"/>
                <w:lang w:bidi="en-NZ"/>
              </w:rPr>
            </w:pPr>
          </w:p>
          <w:p w14:paraId="5AA87AFD" w14:textId="43A2A676" w:rsidR="001E013F" w:rsidRPr="00510102" w:rsidRDefault="001E013F" w:rsidP="001D4A69">
            <w:pPr>
              <w:pStyle w:val="BodyText"/>
              <w:spacing w:line="199" w:lineRule="exact"/>
              <w:ind w:left="35"/>
              <w:rPr>
                <w:rFonts w:ascii="Arial" w:hAnsi="Arial" w:cs="Arial"/>
                <w:sz w:val="22"/>
                <w:szCs w:val="22"/>
              </w:rPr>
            </w:pPr>
            <w:r w:rsidRPr="00510102">
              <w:rPr>
                <w:rFonts w:ascii="Arial" w:hAnsi="Arial" w:cs="Arial"/>
                <w:sz w:val="22"/>
                <w:szCs w:val="22"/>
              </w:rPr>
              <w:t>to work with learners, industry (including, without limitation, employers, employees, self-employed people, volunteers, industry associations and unions), tāngata whenua, stakeholders and the other Workforce Development Councils to give effect to the Council’s strategic direction</w:t>
            </w:r>
          </w:p>
          <w:p w14:paraId="6D702973" w14:textId="48D97D4B" w:rsidR="001E013F" w:rsidRPr="00510102" w:rsidRDefault="001E013F" w:rsidP="001D4A69">
            <w:pPr>
              <w:rPr>
                <w:rFonts w:ascii="Arial" w:hAnsi="Arial" w:cs="Arial"/>
                <w:lang w:bidi="en-NZ"/>
              </w:rPr>
            </w:pPr>
          </w:p>
          <w:p w14:paraId="6FCFCB65" w14:textId="36B982AB" w:rsidR="001E013F" w:rsidRPr="00510102" w:rsidRDefault="001E013F" w:rsidP="001D4A69">
            <w:pPr>
              <w:rPr>
                <w:rFonts w:ascii="Arial" w:hAnsi="Arial" w:cs="Arial"/>
                <w:i/>
                <w:iCs/>
                <w:lang w:bidi="en-NZ"/>
              </w:rPr>
            </w:pPr>
            <w:r w:rsidRPr="00510102">
              <w:rPr>
                <w:rFonts w:ascii="Arial" w:hAnsi="Arial" w:cs="Arial"/>
                <w:i/>
                <w:iCs/>
                <w:lang w:bidi="en-NZ"/>
              </w:rPr>
              <w:t>page 10 of the Consultation Proposal document</w:t>
            </w:r>
          </w:p>
        </w:tc>
        <w:tc>
          <w:tcPr>
            <w:tcW w:w="1858" w:type="pct"/>
          </w:tcPr>
          <w:p w14:paraId="56C725EF" w14:textId="147F5549" w:rsidR="001E013F" w:rsidRPr="00510102" w:rsidRDefault="001E013F" w:rsidP="001D4A69">
            <w:pPr>
              <w:rPr>
                <w:rFonts w:ascii="Arial" w:hAnsi="Arial" w:cs="Arial"/>
                <w:lang w:bidi="en-NZ"/>
              </w:rPr>
            </w:pPr>
            <w:r w:rsidRPr="00510102">
              <w:rPr>
                <w:rFonts w:ascii="Arial" w:hAnsi="Arial" w:cs="Arial"/>
                <w:lang w:bidi="en-NZ"/>
              </w:rPr>
              <w:t>Support</w:t>
            </w:r>
            <w:r w:rsidR="00446C09">
              <w:rPr>
                <w:rFonts w:ascii="Arial" w:hAnsi="Arial" w:cs="Arial"/>
                <w:lang w:bidi="en-NZ"/>
              </w:rPr>
              <w:t xml:space="preserve"> with the following additions</w:t>
            </w:r>
            <w:r w:rsidR="00312EF7">
              <w:rPr>
                <w:rFonts w:ascii="Arial" w:hAnsi="Arial" w:cs="Arial"/>
                <w:lang w:bidi="en-NZ"/>
              </w:rPr>
              <w:t xml:space="preserve"> to the WDC’s purpose</w:t>
            </w:r>
            <w:r w:rsidR="00446C09">
              <w:rPr>
                <w:rFonts w:ascii="Arial" w:hAnsi="Arial" w:cs="Arial"/>
                <w:lang w:bidi="en-NZ"/>
              </w:rPr>
              <w:t>:</w:t>
            </w:r>
          </w:p>
          <w:p w14:paraId="7C845859" w14:textId="77777777" w:rsidR="001E013F" w:rsidRDefault="001E013F" w:rsidP="001D4A69">
            <w:pPr>
              <w:rPr>
                <w:rFonts w:ascii="Arial" w:hAnsi="Arial" w:cs="Arial"/>
                <w:lang w:bidi="en-NZ"/>
              </w:rPr>
            </w:pPr>
          </w:p>
          <w:p w14:paraId="0EBE76A2" w14:textId="226D8FAF" w:rsidR="00312EF7" w:rsidRPr="00312EF7" w:rsidRDefault="00312EF7" w:rsidP="00312EF7">
            <w:pPr>
              <w:rPr>
                <w:rFonts w:ascii="Arial" w:hAnsi="Arial" w:cs="Arial"/>
                <w:lang w:val="en-US" w:bidi="en-NZ"/>
              </w:rPr>
            </w:pPr>
            <w:r w:rsidRPr="00312EF7">
              <w:rPr>
                <w:rFonts w:ascii="Arial" w:hAnsi="Arial" w:cs="Arial"/>
                <w:lang w:val="en-US" w:bidi="en-NZ"/>
              </w:rPr>
              <w:t xml:space="preserve">To work collaboratively with industry bodies, employers and </w:t>
            </w:r>
            <w:r>
              <w:rPr>
                <w:rFonts w:ascii="Arial" w:hAnsi="Arial" w:cs="Arial"/>
                <w:lang w:val="en-US" w:bidi="en-NZ"/>
              </w:rPr>
              <w:t>learners</w:t>
            </w:r>
            <w:r w:rsidRPr="00312EF7">
              <w:rPr>
                <w:rFonts w:ascii="Arial" w:hAnsi="Arial" w:cs="Arial"/>
                <w:lang w:val="en-US" w:bidi="en-NZ"/>
              </w:rPr>
              <w:t xml:space="preserve"> to:</w:t>
            </w:r>
          </w:p>
          <w:p w14:paraId="3BD9D34F" w14:textId="77777777" w:rsidR="00312EF7" w:rsidRPr="00312EF7" w:rsidRDefault="00312EF7" w:rsidP="00312EF7">
            <w:pPr>
              <w:numPr>
                <w:ilvl w:val="0"/>
                <w:numId w:val="12"/>
              </w:numPr>
              <w:rPr>
                <w:rFonts w:ascii="Arial" w:hAnsi="Arial" w:cs="Arial"/>
                <w:lang w:bidi="en-NZ"/>
              </w:rPr>
            </w:pPr>
            <w:r w:rsidRPr="00312EF7">
              <w:rPr>
                <w:rFonts w:ascii="Arial" w:hAnsi="Arial" w:cs="Arial"/>
                <w:lang w:bidi="en-NZ"/>
              </w:rPr>
              <w:t>Provide skills leadership to the vocational education sector so that education provision results in graduates with the knowledge, skills and abilities to meet the needs of current and future employers.</w:t>
            </w:r>
          </w:p>
          <w:p w14:paraId="2E8C48DB" w14:textId="77777777" w:rsidR="00312EF7" w:rsidRPr="00312EF7" w:rsidRDefault="00312EF7" w:rsidP="00312EF7">
            <w:pPr>
              <w:numPr>
                <w:ilvl w:val="0"/>
                <w:numId w:val="12"/>
              </w:numPr>
              <w:rPr>
                <w:rFonts w:ascii="Arial" w:hAnsi="Arial" w:cs="Arial"/>
                <w:lang w:bidi="en-NZ"/>
              </w:rPr>
            </w:pPr>
            <w:r w:rsidRPr="00312EF7">
              <w:rPr>
                <w:rFonts w:ascii="Arial" w:hAnsi="Arial" w:cs="Arial"/>
                <w:lang w:bidi="en-NZ"/>
              </w:rPr>
              <w:t>Develop and set standards, capstone assessments and qualifications</w:t>
            </w:r>
          </w:p>
          <w:p w14:paraId="56D3B427" w14:textId="77777777" w:rsidR="00312EF7" w:rsidRPr="00312EF7" w:rsidRDefault="00312EF7" w:rsidP="00312EF7">
            <w:pPr>
              <w:numPr>
                <w:ilvl w:val="0"/>
                <w:numId w:val="12"/>
              </w:numPr>
              <w:rPr>
                <w:rFonts w:ascii="Arial" w:hAnsi="Arial" w:cs="Arial"/>
                <w:lang w:bidi="en-NZ"/>
              </w:rPr>
            </w:pPr>
            <w:r w:rsidRPr="00312EF7">
              <w:rPr>
                <w:rFonts w:ascii="Arial" w:hAnsi="Arial" w:cs="Arial"/>
                <w:lang w:bidi="en-NZ"/>
              </w:rPr>
              <w:t>Endorse programmes to ensure they will meet graduate outcomes</w:t>
            </w:r>
          </w:p>
          <w:p w14:paraId="12B317A9" w14:textId="77777777" w:rsidR="00312EF7" w:rsidRPr="00312EF7" w:rsidRDefault="00312EF7" w:rsidP="00312EF7">
            <w:pPr>
              <w:numPr>
                <w:ilvl w:val="0"/>
                <w:numId w:val="12"/>
              </w:numPr>
              <w:rPr>
                <w:rFonts w:ascii="Arial" w:hAnsi="Arial" w:cs="Arial"/>
                <w:lang w:bidi="en-NZ"/>
              </w:rPr>
            </w:pPr>
            <w:r w:rsidRPr="00312EF7">
              <w:rPr>
                <w:rFonts w:ascii="Arial" w:hAnsi="Arial" w:cs="Arial"/>
                <w:lang w:bidi="en-NZ"/>
              </w:rPr>
              <w:t>Moderate assessments monitor quality of educational outcomes and ensure they meet employer needs.</w:t>
            </w:r>
          </w:p>
          <w:p w14:paraId="7B9F598D" w14:textId="2B4BB69A" w:rsidR="00312EF7" w:rsidRDefault="00312EF7" w:rsidP="00312EF7">
            <w:pPr>
              <w:numPr>
                <w:ilvl w:val="0"/>
                <w:numId w:val="12"/>
              </w:numPr>
              <w:rPr>
                <w:rFonts w:ascii="Arial" w:hAnsi="Arial" w:cs="Arial"/>
                <w:lang w:bidi="en-NZ"/>
              </w:rPr>
            </w:pPr>
            <w:r w:rsidRPr="00312EF7">
              <w:rPr>
                <w:rFonts w:ascii="Arial" w:hAnsi="Arial" w:cs="Arial"/>
                <w:lang w:bidi="en-NZ"/>
              </w:rPr>
              <w:t>To provide advice to TEC and government</w:t>
            </w:r>
          </w:p>
          <w:p w14:paraId="12A8FA67" w14:textId="7F8A59F8" w:rsidR="00312EF7" w:rsidRPr="00312EF7" w:rsidRDefault="00312EF7" w:rsidP="00312EF7">
            <w:pPr>
              <w:numPr>
                <w:ilvl w:val="0"/>
                <w:numId w:val="12"/>
              </w:numPr>
              <w:rPr>
                <w:rFonts w:ascii="Arial" w:hAnsi="Arial" w:cs="Arial"/>
                <w:lang w:bidi="en-NZ"/>
              </w:rPr>
            </w:pPr>
            <w:r>
              <w:rPr>
                <w:rFonts w:ascii="Arial" w:hAnsi="Arial" w:cs="Arial"/>
                <w:lang w:val="en-US" w:bidi="en-NZ"/>
              </w:rPr>
              <w:t xml:space="preserve">To </w:t>
            </w:r>
            <w:r w:rsidRPr="00312EF7">
              <w:rPr>
                <w:rFonts w:ascii="Arial" w:hAnsi="Arial" w:cs="Arial"/>
                <w:lang w:val="en-US" w:bidi="en-NZ"/>
              </w:rPr>
              <w:t>facilitat</w:t>
            </w:r>
            <w:r>
              <w:rPr>
                <w:rFonts w:ascii="Arial" w:hAnsi="Arial" w:cs="Arial"/>
                <w:lang w:val="en-US" w:bidi="en-NZ"/>
              </w:rPr>
              <w:t xml:space="preserve">e and </w:t>
            </w:r>
            <w:r w:rsidRPr="00312EF7">
              <w:rPr>
                <w:rFonts w:ascii="Arial" w:hAnsi="Arial" w:cs="Arial"/>
                <w:lang w:val="en-US" w:bidi="en-NZ"/>
              </w:rPr>
              <w:t>channel</w:t>
            </w:r>
            <w:r>
              <w:rPr>
                <w:rFonts w:ascii="Arial" w:hAnsi="Arial" w:cs="Arial"/>
                <w:lang w:val="en-US" w:bidi="en-NZ"/>
              </w:rPr>
              <w:t xml:space="preserve"> the </w:t>
            </w:r>
            <w:r w:rsidRPr="00312EF7">
              <w:rPr>
                <w:rFonts w:ascii="Arial" w:hAnsi="Arial" w:cs="Arial"/>
                <w:lang w:val="en-US" w:bidi="en-NZ"/>
              </w:rPr>
              <w:t xml:space="preserve"> industry voice</w:t>
            </w:r>
            <w:r>
              <w:rPr>
                <w:rFonts w:ascii="Arial" w:hAnsi="Arial" w:cs="Arial"/>
                <w:lang w:val="en-US" w:bidi="en-NZ"/>
              </w:rPr>
              <w:t>. (We submit the WDC is not a voice for or of industry.)</w:t>
            </w:r>
          </w:p>
          <w:p w14:paraId="2B3B680A" w14:textId="77777777" w:rsidR="00312EF7" w:rsidRPr="00312EF7" w:rsidRDefault="00312EF7" w:rsidP="00312EF7">
            <w:pPr>
              <w:rPr>
                <w:rFonts w:ascii="Arial" w:hAnsi="Arial" w:cs="Arial"/>
                <w:lang w:val="en-US" w:bidi="en-NZ"/>
              </w:rPr>
            </w:pPr>
          </w:p>
          <w:p w14:paraId="21131E2D" w14:textId="77777777" w:rsidR="00312EF7" w:rsidRPr="00312EF7" w:rsidRDefault="00312EF7" w:rsidP="00312EF7">
            <w:pPr>
              <w:rPr>
                <w:rFonts w:ascii="Arial" w:hAnsi="Arial" w:cs="Arial"/>
                <w:lang w:val="en-US" w:bidi="en-NZ"/>
              </w:rPr>
            </w:pPr>
            <w:r w:rsidRPr="00312EF7">
              <w:rPr>
                <w:rFonts w:ascii="Arial" w:hAnsi="Arial" w:cs="Arial"/>
                <w:lang w:val="en-US" w:bidi="en-NZ"/>
              </w:rPr>
              <w:t>The current proposal is silent on the industry leadership, one of the key drivers of the reform. This must be addressed.</w:t>
            </w:r>
          </w:p>
          <w:p w14:paraId="44464512" w14:textId="3020FC85" w:rsidR="00446C09" w:rsidRPr="00510102" w:rsidRDefault="00446C09" w:rsidP="00312EF7">
            <w:pPr>
              <w:rPr>
                <w:rFonts w:ascii="Arial" w:hAnsi="Arial" w:cs="Arial"/>
                <w:lang w:bidi="en-NZ"/>
              </w:rPr>
            </w:pPr>
          </w:p>
        </w:tc>
      </w:tr>
      <w:tr w:rsidR="001E013F" w:rsidRPr="00510102" w14:paraId="26B690BC" w14:textId="77777777" w:rsidTr="00296A03">
        <w:trPr>
          <w:trHeight w:val="841"/>
        </w:trPr>
        <w:tc>
          <w:tcPr>
            <w:tcW w:w="1255" w:type="pct"/>
          </w:tcPr>
          <w:p w14:paraId="786C994C" w14:textId="5A609D21" w:rsidR="001E013F" w:rsidRPr="00510102" w:rsidRDefault="001E013F" w:rsidP="001D4A69">
            <w:pPr>
              <w:rPr>
                <w:rFonts w:ascii="Arial" w:hAnsi="Arial" w:cs="Arial"/>
                <w:b/>
                <w:lang w:bidi="en-NZ"/>
              </w:rPr>
            </w:pPr>
            <w:r w:rsidRPr="00510102">
              <w:rPr>
                <w:rFonts w:ascii="Arial" w:hAnsi="Arial" w:cs="Arial"/>
                <w:b/>
                <w:lang w:bidi="en-NZ"/>
              </w:rPr>
              <w:t>Accountability, Strategic Direction, Annual Report</w:t>
            </w:r>
          </w:p>
        </w:tc>
        <w:tc>
          <w:tcPr>
            <w:tcW w:w="1887" w:type="pct"/>
          </w:tcPr>
          <w:p w14:paraId="1609F01C" w14:textId="7F2137AE" w:rsidR="001E013F" w:rsidRPr="00510102" w:rsidRDefault="001E013F" w:rsidP="001D4A69">
            <w:pPr>
              <w:rPr>
                <w:rFonts w:ascii="Arial" w:hAnsi="Arial" w:cs="Arial"/>
                <w:lang w:bidi="en-NZ"/>
              </w:rPr>
            </w:pPr>
            <w:r w:rsidRPr="00510102">
              <w:rPr>
                <w:rFonts w:ascii="Arial" w:hAnsi="Arial" w:cs="Arial"/>
                <w:lang w:bidi="en-NZ"/>
              </w:rPr>
              <w:t>Standard accountability provisions are proposed</w:t>
            </w:r>
            <w:r w:rsidR="00296A03">
              <w:rPr>
                <w:rFonts w:ascii="Arial" w:hAnsi="Arial" w:cs="Arial"/>
                <w:lang w:bidi="en-NZ"/>
              </w:rPr>
              <w:t xml:space="preserve"> i</w:t>
            </w:r>
            <w:r w:rsidRPr="00510102">
              <w:rPr>
                <w:rFonts w:ascii="Arial" w:hAnsi="Arial" w:cs="Arial"/>
                <w:lang w:bidi="en-NZ"/>
              </w:rPr>
              <w:t>ncluding:</w:t>
            </w:r>
          </w:p>
          <w:p w14:paraId="381643E8" w14:textId="0EBEE0A4" w:rsidR="001E013F" w:rsidRPr="00510102" w:rsidRDefault="001E013F" w:rsidP="001D4A69">
            <w:pPr>
              <w:rPr>
                <w:rFonts w:ascii="Arial" w:hAnsi="Arial" w:cs="Arial"/>
                <w:lang w:bidi="en-NZ"/>
              </w:rPr>
            </w:pPr>
          </w:p>
          <w:p w14:paraId="4BBCBB95" w14:textId="23C710C7" w:rsidR="001E013F" w:rsidRPr="00510102" w:rsidRDefault="001E013F" w:rsidP="00887462">
            <w:pPr>
              <w:pStyle w:val="BodyText"/>
              <w:spacing w:line="199" w:lineRule="exact"/>
              <w:ind w:left="35"/>
              <w:rPr>
                <w:rFonts w:ascii="Arial" w:hAnsi="Arial" w:cs="Arial"/>
                <w:sz w:val="22"/>
                <w:szCs w:val="22"/>
              </w:rPr>
            </w:pPr>
            <w:r w:rsidRPr="00510102">
              <w:rPr>
                <w:rFonts w:ascii="Arial" w:hAnsi="Arial" w:cs="Arial"/>
                <w:sz w:val="22"/>
                <w:szCs w:val="22"/>
              </w:rPr>
              <w:t>advocate for, and contribute to, policies that meet the needs of industries covered by the Council, particularly as they relate to vocational education, career promotion and planning and the funding of education and training.</w:t>
            </w:r>
          </w:p>
          <w:p w14:paraId="5215786C" w14:textId="77777777" w:rsidR="001E013F" w:rsidRPr="00510102" w:rsidRDefault="001E013F" w:rsidP="001D4A69">
            <w:pPr>
              <w:rPr>
                <w:rFonts w:ascii="Arial" w:hAnsi="Arial" w:cs="Arial"/>
                <w:lang w:bidi="en-NZ"/>
              </w:rPr>
            </w:pPr>
          </w:p>
          <w:p w14:paraId="7941FC2E" w14:textId="3EB018B2" w:rsidR="001E013F" w:rsidRPr="00510102" w:rsidRDefault="001E013F" w:rsidP="001D4A69">
            <w:pPr>
              <w:rPr>
                <w:rFonts w:ascii="Arial" w:hAnsi="Arial" w:cs="Arial"/>
                <w:lang w:bidi="en-NZ"/>
              </w:rPr>
            </w:pPr>
            <w:r w:rsidRPr="00510102">
              <w:rPr>
                <w:rFonts w:ascii="Arial" w:hAnsi="Arial" w:cs="Arial"/>
                <w:i/>
                <w:iCs/>
                <w:lang w:bidi="en-NZ"/>
              </w:rPr>
              <w:t>page 11 of the Consultation Proposal document</w:t>
            </w:r>
          </w:p>
        </w:tc>
        <w:tc>
          <w:tcPr>
            <w:tcW w:w="1858" w:type="pct"/>
          </w:tcPr>
          <w:p w14:paraId="096991F1" w14:textId="25E0DE0C" w:rsidR="00312EF7" w:rsidRPr="00312EF7" w:rsidRDefault="001E013F" w:rsidP="00312EF7">
            <w:pPr>
              <w:rPr>
                <w:rFonts w:ascii="Arial" w:hAnsi="Arial" w:cs="Arial"/>
                <w:lang w:val="en-US" w:bidi="en-NZ"/>
              </w:rPr>
            </w:pPr>
            <w:r w:rsidRPr="00510102">
              <w:rPr>
                <w:rFonts w:ascii="Arial" w:hAnsi="Arial" w:cs="Arial"/>
                <w:lang w:bidi="en-NZ"/>
              </w:rPr>
              <w:t>Support</w:t>
            </w:r>
            <w:r w:rsidR="00312EF7">
              <w:rPr>
                <w:rFonts w:ascii="Arial" w:hAnsi="Arial" w:cs="Arial"/>
                <w:lang w:bidi="en-NZ"/>
              </w:rPr>
              <w:t xml:space="preserve"> but amend this </w:t>
            </w:r>
            <w:r w:rsidR="00312EF7" w:rsidRPr="00312EF7">
              <w:rPr>
                <w:rFonts w:ascii="Arial" w:hAnsi="Arial" w:cs="Arial"/>
                <w:lang w:val="en-US" w:bidi="en-NZ"/>
              </w:rPr>
              <w:t xml:space="preserve">section </w:t>
            </w:r>
            <w:r w:rsidR="00312EF7">
              <w:rPr>
                <w:rFonts w:ascii="Arial" w:hAnsi="Arial" w:cs="Arial"/>
                <w:lang w:val="en-US" w:bidi="en-NZ"/>
              </w:rPr>
              <w:t xml:space="preserve">to </w:t>
            </w:r>
            <w:r w:rsidR="00312EF7" w:rsidRPr="00312EF7">
              <w:rPr>
                <w:rFonts w:ascii="Arial" w:hAnsi="Arial" w:cs="Arial"/>
                <w:lang w:val="en-US" w:bidi="en-NZ"/>
              </w:rPr>
              <w:t>provide mechanism</w:t>
            </w:r>
            <w:r w:rsidR="00312EF7">
              <w:rPr>
                <w:rFonts w:ascii="Arial" w:hAnsi="Arial" w:cs="Arial"/>
                <w:lang w:val="en-US" w:bidi="en-NZ"/>
              </w:rPr>
              <w:t>s</w:t>
            </w:r>
            <w:r w:rsidR="00312EF7" w:rsidRPr="00312EF7">
              <w:rPr>
                <w:rFonts w:ascii="Arial" w:hAnsi="Arial" w:cs="Arial"/>
                <w:lang w:val="en-US" w:bidi="en-NZ"/>
              </w:rPr>
              <w:t xml:space="preserve"> for accountability </w:t>
            </w:r>
            <w:r w:rsidR="00312EF7">
              <w:rPr>
                <w:rFonts w:ascii="Arial" w:hAnsi="Arial" w:cs="Arial"/>
                <w:lang w:val="en-US" w:bidi="en-NZ"/>
              </w:rPr>
              <w:t xml:space="preserve">to industry </w:t>
            </w:r>
          </w:p>
          <w:p w14:paraId="51652121" w14:textId="51D39A31" w:rsidR="00312EF7" w:rsidRDefault="00312EF7" w:rsidP="001D4A69">
            <w:pPr>
              <w:rPr>
                <w:rFonts w:ascii="Arial" w:hAnsi="Arial" w:cs="Arial"/>
                <w:lang w:bidi="en-NZ"/>
              </w:rPr>
            </w:pPr>
          </w:p>
          <w:p w14:paraId="3DCF364C" w14:textId="11B09DB3" w:rsidR="00296A03" w:rsidRDefault="00296A03" w:rsidP="001D4A69">
            <w:pPr>
              <w:rPr>
                <w:rFonts w:ascii="Arial" w:hAnsi="Arial" w:cs="Arial"/>
                <w:lang w:bidi="en-NZ"/>
              </w:rPr>
            </w:pPr>
            <w:r>
              <w:rPr>
                <w:rFonts w:ascii="Arial" w:hAnsi="Arial" w:cs="Arial"/>
                <w:lang w:bidi="en-NZ"/>
              </w:rPr>
              <w:t>We submit that this section should be expanded to include:</w:t>
            </w:r>
          </w:p>
          <w:p w14:paraId="3F9E9114" w14:textId="1AA6D9ED" w:rsidR="00296A03" w:rsidRDefault="00296A03" w:rsidP="00296A03">
            <w:pPr>
              <w:pStyle w:val="ListParagraph"/>
              <w:numPr>
                <w:ilvl w:val="0"/>
                <w:numId w:val="17"/>
              </w:numPr>
              <w:rPr>
                <w:rFonts w:ascii="Arial" w:hAnsi="Arial" w:cs="Arial"/>
                <w:lang w:bidi="en-NZ"/>
              </w:rPr>
            </w:pPr>
            <w:r>
              <w:rPr>
                <w:rFonts w:ascii="Arial" w:hAnsi="Arial" w:cs="Arial"/>
                <w:lang w:bidi="en-NZ"/>
              </w:rPr>
              <w:t>A requirement to consult with industry organisations</w:t>
            </w:r>
          </w:p>
          <w:p w14:paraId="0E032AC6" w14:textId="3EB32B75" w:rsidR="00296A03" w:rsidRDefault="00296A03" w:rsidP="00296A03">
            <w:pPr>
              <w:pStyle w:val="ListParagraph"/>
              <w:numPr>
                <w:ilvl w:val="0"/>
                <w:numId w:val="17"/>
              </w:numPr>
              <w:rPr>
                <w:rFonts w:ascii="Arial" w:hAnsi="Arial" w:cs="Arial"/>
                <w:lang w:bidi="en-NZ"/>
              </w:rPr>
            </w:pPr>
            <w:r>
              <w:rPr>
                <w:rFonts w:ascii="Arial" w:hAnsi="Arial" w:cs="Arial"/>
                <w:lang w:bidi="en-NZ"/>
              </w:rPr>
              <w:t>A requirement to present an annual report, strategic plan and work plan to stakeholders including industry organisations</w:t>
            </w:r>
          </w:p>
          <w:p w14:paraId="7A96EAB6" w14:textId="06E07AB5" w:rsidR="00296A03" w:rsidRPr="00296A03" w:rsidRDefault="00296A03" w:rsidP="00296A03">
            <w:pPr>
              <w:pStyle w:val="ListParagraph"/>
              <w:numPr>
                <w:ilvl w:val="0"/>
                <w:numId w:val="17"/>
              </w:numPr>
              <w:rPr>
                <w:rFonts w:ascii="Arial" w:hAnsi="Arial" w:cs="Arial"/>
                <w:lang w:bidi="en-NZ"/>
              </w:rPr>
            </w:pPr>
            <w:r>
              <w:rPr>
                <w:rFonts w:ascii="Arial" w:hAnsi="Arial" w:cs="Arial"/>
                <w:lang w:val="en-US" w:bidi="en-NZ"/>
              </w:rPr>
              <w:t xml:space="preserve">A requirement that </w:t>
            </w:r>
            <w:r w:rsidRPr="00312EF7">
              <w:rPr>
                <w:rFonts w:ascii="Arial" w:hAnsi="Arial" w:cs="Arial"/>
                <w:lang w:val="en-US" w:bidi="en-NZ"/>
              </w:rPr>
              <w:t xml:space="preserve">the WDC develop performance measurement and accountability framework </w:t>
            </w:r>
            <w:r w:rsidRPr="00312EF7">
              <w:rPr>
                <w:rFonts w:ascii="Arial" w:hAnsi="Arial" w:cs="Arial"/>
                <w:b/>
                <w:bCs/>
                <w:i/>
                <w:iCs/>
                <w:lang w:val="en-US" w:bidi="en-NZ"/>
              </w:rPr>
              <w:t>with</w:t>
            </w:r>
            <w:r w:rsidRPr="00312EF7">
              <w:rPr>
                <w:rFonts w:ascii="Arial" w:hAnsi="Arial" w:cs="Arial"/>
                <w:lang w:val="en-US" w:bidi="en-NZ"/>
              </w:rPr>
              <w:t xml:space="preserve"> industry</w:t>
            </w:r>
            <w:r>
              <w:rPr>
                <w:rFonts w:ascii="Arial" w:hAnsi="Arial" w:cs="Arial"/>
                <w:lang w:val="en-US" w:bidi="en-NZ"/>
              </w:rPr>
              <w:t xml:space="preserve"> and report on the achievement of these </w:t>
            </w:r>
            <w:r>
              <w:rPr>
                <w:rFonts w:ascii="Arial" w:hAnsi="Arial" w:cs="Arial"/>
                <w:lang w:val="en-US" w:bidi="en-NZ"/>
              </w:rPr>
              <w:lastRenderedPageBreak/>
              <w:t>measures and the framework in the WDC’s annual reports</w:t>
            </w:r>
            <w:r w:rsidRPr="00312EF7">
              <w:rPr>
                <w:rFonts w:ascii="Arial" w:hAnsi="Arial" w:cs="Arial"/>
                <w:lang w:val="en-US" w:bidi="en-NZ"/>
              </w:rPr>
              <w:t>.</w:t>
            </w:r>
          </w:p>
          <w:p w14:paraId="73746F69" w14:textId="3F26DFD1" w:rsidR="00312EF7" w:rsidRPr="00510102" w:rsidRDefault="00312EF7" w:rsidP="001D4A69">
            <w:pPr>
              <w:rPr>
                <w:rFonts w:ascii="Arial" w:hAnsi="Arial" w:cs="Arial"/>
                <w:lang w:bidi="en-NZ"/>
              </w:rPr>
            </w:pPr>
          </w:p>
        </w:tc>
      </w:tr>
      <w:tr w:rsidR="001E013F" w:rsidRPr="00510102" w14:paraId="13FC7437" w14:textId="77777777" w:rsidTr="001E013F">
        <w:trPr>
          <w:trHeight w:val="1625"/>
        </w:trPr>
        <w:tc>
          <w:tcPr>
            <w:tcW w:w="1255" w:type="pct"/>
          </w:tcPr>
          <w:p w14:paraId="481CFDA9" w14:textId="3CFB4392" w:rsidR="001E013F" w:rsidRPr="00510102" w:rsidRDefault="001E013F" w:rsidP="001D4A69">
            <w:pPr>
              <w:rPr>
                <w:rFonts w:ascii="Arial" w:hAnsi="Arial" w:cs="Arial"/>
                <w:b/>
                <w:lang w:bidi="en-NZ"/>
              </w:rPr>
            </w:pPr>
            <w:r w:rsidRPr="00510102">
              <w:rPr>
                <w:rFonts w:ascii="Arial" w:hAnsi="Arial" w:cs="Arial"/>
                <w:b/>
                <w:lang w:bidi="en-NZ"/>
              </w:rPr>
              <w:lastRenderedPageBreak/>
              <w:t>Council Membership</w:t>
            </w:r>
          </w:p>
        </w:tc>
        <w:tc>
          <w:tcPr>
            <w:tcW w:w="1887" w:type="pct"/>
          </w:tcPr>
          <w:p w14:paraId="621042C9" w14:textId="77777777" w:rsidR="001E013F" w:rsidRPr="00510102" w:rsidRDefault="001E013F" w:rsidP="001D4A69">
            <w:pPr>
              <w:rPr>
                <w:rFonts w:ascii="Arial" w:hAnsi="Arial" w:cs="Arial"/>
                <w:lang w:bidi="en-NZ"/>
              </w:rPr>
            </w:pPr>
            <w:r w:rsidRPr="00510102">
              <w:rPr>
                <w:rFonts w:ascii="Arial" w:hAnsi="Arial" w:cs="Arial"/>
                <w:lang w:bidi="en-NZ"/>
              </w:rPr>
              <w:t xml:space="preserve">8 to 12 members including at least 2 Maori, 1 Trade Union, 1 Employer Associations and an even balance between Maori and non-Maori members </w:t>
            </w:r>
          </w:p>
          <w:p w14:paraId="1D4D7797" w14:textId="77777777" w:rsidR="001E013F" w:rsidRPr="00510102" w:rsidRDefault="001E013F" w:rsidP="001D4A69">
            <w:pPr>
              <w:rPr>
                <w:rFonts w:ascii="Arial" w:hAnsi="Arial" w:cs="Arial"/>
                <w:lang w:bidi="en-NZ"/>
              </w:rPr>
            </w:pPr>
          </w:p>
          <w:p w14:paraId="1B3C2586" w14:textId="46A9FA88" w:rsidR="001E013F" w:rsidRPr="00510102" w:rsidRDefault="001E013F" w:rsidP="001D4A69">
            <w:pPr>
              <w:rPr>
                <w:rFonts w:ascii="Arial" w:hAnsi="Arial" w:cs="Arial"/>
                <w:lang w:bidi="en-NZ"/>
              </w:rPr>
            </w:pPr>
            <w:r w:rsidRPr="00510102">
              <w:rPr>
                <w:rFonts w:ascii="Arial" w:hAnsi="Arial" w:cs="Arial"/>
                <w:i/>
                <w:iCs/>
                <w:lang w:bidi="en-NZ"/>
              </w:rPr>
              <w:t>page 12 of the Consultation Proposal document</w:t>
            </w:r>
          </w:p>
        </w:tc>
        <w:tc>
          <w:tcPr>
            <w:tcW w:w="1858" w:type="pct"/>
          </w:tcPr>
          <w:p w14:paraId="1553A177" w14:textId="01FD14BE" w:rsidR="001E013F" w:rsidRDefault="001E013F" w:rsidP="001D4A69">
            <w:pPr>
              <w:rPr>
                <w:rFonts w:ascii="Arial" w:hAnsi="Arial" w:cs="Arial"/>
                <w:lang w:bidi="en-NZ"/>
              </w:rPr>
            </w:pPr>
            <w:r w:rsidRPr="00510102">
              <w:rPr>
                <w:rFonts w:ascii="Arial" w:hAnsi="Arial" w:cs="Arial"/>
                <w:lang w:bidi="en-NZ"/>
              </w:rPr>
              <w:t>Submit that the WDC should reflect the makeup of the industries covered by the Primary Industries WDC, to honour te Tiriti o Waitangi and the importance of minority cultures and ethnicities being serviced</w:t>
            </w:r>
          </w:p>
          <w:p w14:paraId="08C5680A" w14:textId="77777777" w:rsidR="00405D9F" w:rsidRDefault="00405D9F" w:rsidP="001D4A69">
            <w:pPr>
              <w:rPr>
                <w:rFonts w:ascii="Arial" w:hAnsi="Arial" w:cs="Arial"/>
                <w:lang w:bidi="en-NZ"/>
              </w:rPr>
            </w:pPr>
          </w:p>
          <w:p w14:paraId="65116EA0" w14:textId="2E8A3FFC" w:rsidR="00312EF7" w:rsidRDefault="00312EF7" w:rsidP="001D4A69">
            <w:pPr>
              <w:rPr>
                <w:rFonts w:ascii="Arial" w:hAnsi="Arial" w:cs="Arial"/>
                <w:lang w:bidi="en-NZ"/>
              </w:rPr>
            </w:pPr>
            <w:r>
              <w:rPr>
                <w:rFonts w:ascii="Arial" w:hAnsi="Arial" w:cs="Arial"/>
                <w:lang w:bidi="en-NZ"/>
              </w:rPr>
              <w:t xml:space="preserve">Also submit as drafted this section is confusing as to </w:t>
            </w:r>
            <w:r w:rsidR="00405D9F">
              <w:rPr>
                <w:rFonts w:ascii="Arial" w:hAnsi="Arial" w:cs="Arial"/>
                <w:lang w:bidi="en-NZ"/>
              </w:rPr>
              <w:t>Maori representation and that this should be clarified</w:t>
            </w:r>
          </w:p>
          <w:p w14:paraId="025268C7" w14:textId="77777777" w:rsidR="00405D9F" w:rsidRDefault="00405D9F" w:rsidP="00405D9F">
            <w:pPr>
              <w:rPr>
                <w:rFonts w:ascii="Arial" w:hAnsi="Arial" w:cs="Arial"/>
                <w:lang w:bidi="en-NZ"/>
              </w:rPr>
            </w:pPr>
          </w:p>
          <w:p w14:paraId="14303CFD" w14:textId="6B67A5D9" w:rsidR="00405D9F" w:rsidRPr="00405D9F" w:rsidRDefault="00405D9F" w:rsidP="00405D9F">
            <w:pPr>
              <w:rPr>
                <w:rFonts w:ascii="Arial" w:hAnsi="Arial" w:cs="Arial"/>
                <w:lang w:bidi="en-NZ"/>
              </w:rPr>
            </w:pPr>
            <w:r w:rsidRPr="00405D9F">
              <w:rPr>
                <w:rFonts w:ascii="Arial" w:hAnsi="Arial" w:cs="Arial"/>
                <w:lang w:bidi="en-NZ"/>
              </w:rPr>
              <w:t xml:space="preserve">Industry bodies are currently excluded from making nominations. </w:t>
            </w:r>
            <w:r>
              <w:rPr>
                <w:rFonts w:ascii="Arial" w:hAnsi="Arial" w:cs="Arial"/>
                <w:lang w:bidi="en-NZ"/>
              </w:rPr>
              <w:t>We submit that t</w:t>
            </w:r>
            <w:r w:rsidRPr="00405D9F">
              <w:rPr>
                <w:rFonts w:ascii="Arial" w:hAnsi="Arial" w:cs="Arial"/>
                <w:lang w:bidi="en-NZ"/>
              </w:rPr>
              <w:t xml:space="preserve">he references to who can nominate both employer and employee members should be removed, with the nomination process left open to any person, body, association or union in one of the specified industries. </w:t>
            </w:r>
          </w:p>
          <w:p w14:paraId="6D783315" w14:textId="27DAF0C6" w:rsidR="00312EF7" w:rsidRPr="00510102" w:rsidRDefault="00312EF7" w:rsidP="001D4A69">
            <w:pPr>
              <w:rPr>
                <w:rFonts w:ascii="Arial" w:hAnsi="Arial" w:cs="Arial"/>
                <w:lang w:bidi="en-NZ"/>
              </w:rPr>
            </w:pPr>
          </w:p>
        </w:tc>
      </w:tr>
      <w:tr w:rsidR="001E013F" w:rsidRPr="00510102" w14:paraId="15DEAC4D" w14:textId="77777777" w:rsidTr="001E013F">
        <w:trPr>
          <w:trHeight w:val="1866"/>
        </w:trPr>
        <w:tc>
          <w:tcPr>
            <w:tcW w:w="1255" w:type="pct"/>
            <w:tcBorders>
              <w:bottom w:val="single" w:sz="6" w:space="0" w:color="A4A4A4"/>
            </w:tcBorders>
          </w:tcPr>
          <w:p w14:paraId="695FCDAF" w14:textId="77777777" w:rsidR="001E013F" w:rsidRPr="00510102" w:rsidRDefault="001E013F" w:rsidP="001D4A69">
            <w:pPr>
              <w:rPr>
                <w:rFonts w:ascii="Arial" w:hAnsi="Arial" w:cs="Arial"/>
                <w:b/>
                <w:lang w:bidi="en-NZ"/>
              </w:rPr>
            </w:pPr>
            <w:r w:rsidRPr="00510102">
              <w:rPr>
                <w:rFonts w:ascii="Arial" w:hAnsi="Arial" w:cs="Arial"/>
                <w:b/>
                <w:lang w:bidi="en-NZ"/>
              </w:rPr>
              <w:t>Appointments</w:t>
            </w:r>
          </w:p>
        </w:tc>
        <w:tc>
          <w:tcPr>
            <w:tcW w:w="1887" w:type="pct"/>
            <w:tcBorders>
              <w:bottom w:val="single" w:sz="6" w:space="0" w:color="A4A4A4"/>
            </w:tcBorders>
          </w:tcPr>
          <w:p w14:paraId="7E9FE13B" w14:textId="77777777" w:rsidR="001E013F" w:rsidRPr="00510102" w:rsidRDefault="001E013F" w:rsidP="001D4A69">
            <w:pPr>
              <w:rPr>
                <w:rFonts w:ascii="Arial" w:hAnsi="Arial" w:cs="Arial"/>
                <w:lang w:bidi="en-NZ"/>
              </w:rPr>
            </w:pPr>
            <w:r w:rsidRPr="00510102">
              <w:rPr>
                <w:rFonts w:ascii="Arial" w:hAnsi="Arial" w:cs="Arial"/>
                <w:lang w:bidi="en-NZ"/>
              </w:rPr>
              <w:t>Minister appoints</w:t>
            </w:r>
          </w:p>
          <w:p w14:paraId="58E96ABF" w14:textId="77777777" w:rsidR="001E013F" w:rsidRPr="00510102" w:rsidRDefault="001E013F" w:rsidP="001D4A69">
            <w:pPr>
              <w:rPr>
                <w:rFonts w:ascii="Arial" w:hAnsi="Arial" w:cs="Arial"/>
                <w:lang w:bidi="en-NZ"/>
              </w:rPr>
            </w:pPr>
          </w:p>
          <w:p w14:paraId="2FF381CA" w14:textId="48844D20" w:rsidR="001E013F" w:rsidRPr="00510102" w:rsidRDefault="001E013F" w:rsidP="001D4A69">
            <w:pPr>
              <w:rPr>
                <w:rFonts w:ascii="Arial" w:hAnsi="Arial" w:cs="Arial"/>
                <w:lang w:bidi="en-NZ"/>
              </w:rPr>
            </w:pPr>
            <w:r w:rsidRPr="00510102">
              <w:rPr>
                <w:rFonts w:ascii="Arial" w:hAnsi="Arial" w:cs="Arial"/>
                <w:i/>
                <w:iCs/>
                <w:lang w:bidi="en-NZ"/>
              </w:rPr>
              <w:t>page 12 of the Consultation Proposal document</w:t>
            </w:r>
          </w:p>
        </w:tc>
        <w:tc>
          <w:tcPr>
            <w:tcW w:w="1858" w:type="pct"/>
            <w:tcBorders>
              <w:bottom w:val="single" w:sz="6" w:space="0" w:color="A4A4A4"/>
            </w:tcBorders>
          </w:tcPr>
          <w:p w14:paraId="1B629E19" w14:textId="239E7FB6" w:rsidR="001E013F" w:rsidRPr="00510102" w:rsidRDefault="001E013F" w:rsidP="001D4A69">
            <w:pPr>
              <w:rPr>
                <w:rFonts w:ascii="Arial" w:hAnsi="Arial" w:cs="Arial"/>
                <w:lang w:bidi="en-NZ"/>
              </w:rPr>
            </w:pPr>
            <w:r w:rsidRPr="00510102">
              <w:rPr>
                <w:rFonts w:ascii="Arial" w:hAnsi="Arial" w:cs="Arial"/>
                <w:lang w:bidi="en-NZ"/>
              </w:rPr>
              <w:t xml:space="preserve">Support but submit that the appointments are made on the recommendation of the </w:t>
            </w:r>
            <w:r w:rsidR="00405D9F">
              <w:rPr>
                <w:rFonts w:ascii="Arial" w:hAnsi="Arial" w:cs="Arial"/>
                <w:lang w:bidi="en-NZ"/>
              </w:rPr>
              <w:t>industry groups through a nominations committee</w:t>
            </w:r>
            <w:r w:rsidRPr="00510102">
              <w:rPr>
                <w:rFonts w:ascii="Arial" w:hAnsi="Arial" w:cs="Arial"/>
                <w:lang w:bidi="en-NZ"/>
              </w:rPr>
              <w:t xml:space="preserve"> using a skills and representation matrix to inform appointments decisions by the Minister</w:t>
            </w:r>
          </w:p>
        </w:tc>
      </w:tr>
      <w:tr w:rsidR="001E013F" w:rsidRPr="00510102" w14:paraId="30A07603" w14:textId="77777777" w:rsidTr="001E013F">
        <w:trPr>
          <w:trHeight w:val="1624"/>
        </w:trPr>
        <w:tc>
          <w:tcPr>
            <w:tcW w:w="1255" w:type="pct"/>
          </w:tcPr>
          <w:p w14:paraId="3AAE150C" w14:textId="1276BA5F" w:rsidR="001E013F" w:rsidRPr="00510102" w:rsidRDefault="001E013F" w:rsidP="00887462">
            <w:pPr>
              <w:rPr>
                <w:rFonts w:ascii="Arial" w:hAnsi="Arial" w:cs="Arial"/>
                <w:b/>
                <w:lang w:bidi="en-NZ"/>
              </w:rPr>
            </w:pPr>
            <w:r w:rsidRPr="00510102">
              <w:rPr>
                <w:rFonts w:ascii="Arial" w:hAnsi="Arial" w:cs="Arial"/>
                <w:b/>
                <w:lang w:bidi="en-NZ"/>
              </w:rPr>
              <w:t>Appointment of the First Council</w:t>
            </w:r>
          </w:p>
        </w:tc>
        <w:tc>
          <w:tcPr>
            <w:tcW w:w="1887" w:type="pct"/>
          </w:tcPr>
          <w:p w14:paraId="6F887B01" w14:textId="77777777" w:rsidR="001E013F" w:rsidRPr="00510102" w:rsidRDefault="001E013F" w:rsidP="00887462">
            <w:pPr>
              <w:rPr>
                <w:rFonts w:ascii="Arial" w:hAnsi="Arial" w:cs="Arial"/>
                <w:lang w:bidi="en-NZ"/>
              </w:rPr>
            </w:pPr>
            <w:r w:rsidRPr="00510102">
              <w:rPr>
                <w:rFonts w:ascii="Arial" w:hAnsi="Arial" w:cs="Arial"/>
                <w:lang w:bidi="en-NZ"/>
              </w:rPr>
              <w:t>To be done by a nomination committee established by the TEC CE</w:t>
            </w:r>
          </w:p>
          <w:p w14:paraId="7AC76164" w14:textId="77777777" w:rsidR="001E013F" w:rsidRPr="00510102" w:rsidRDefault="001E013F" w:rsidP="00887462">
            <w:pPr>
              <w:rPr>
                <w:rFonts w:ascii="Arial" w:hAnsi="Arial" w:cs="Arial"/>
                <w:lang w:bidi="en-NZ"/>
              </w:rPr>
            </w:pPr>
          </w:p>
          <w:p w14:paraId="436A5270" w14:textId="6FAAE0EF" w:rsidR="001E013F" w:rsidRPr="00510102" w:rsidRDefault="001E013F" w:rsidP="00887462">
            <w:pPr>
              <w:rPr>
                <w:rFonts w:ascii="Arial" w:hAnsi="Arial" w:cs="Arial"/>
                <w:lang w:bidi="en-NZ"/>
              </w:rPr>
            </w:pPr>
            <w:r w:rsidRPr="00510102">
              <w:rPr>
                <w:rFonts w:ascii="Arial" w:hAnsi="Arial" w:cs="Arial"/>
                <w:i/>
                <w:iCs/>
                <w:lang w:bidi="en-NZ"/>
              </w:rPr>
              <w:t>page 13 of the Consultation Proposal document</w:t>
            </w:r>
          </w:p>
        </w:tc>
        <w:tc>
          <w:tcPr>
            <w:tcW w:w="1858" w:type="pct"/>
          </w:tcPr>
          <w:p w14:paraId="60E96DCC" w14:textId="380F8AFE" w:rsidR="001E013F" w:rsidRPr="00510102" w:rsidRDefault="001E013F" w:rsidP="00887462">
            <w:pPr>
              <w:rPr>
                <w:rFonts w:ascii="Arial" w:hAnsi="Arial" w:cs="Arial"/>
                <w:lang w:bidi="en-NZ"/>
              </w:rPr>
            </w:pPr>
            <w:r w:rsidRPr="00510102">
              <w:rPr>
                <w:rFonts w:ascii="Arial" w:hAnsi="Arial" w:cs="Arial"/>
                <w:lang w:bidi="en-NZ"/>
              </w:rPr>
              <w:t>Submit that the nomination committee be appointed by the Minister, not TEC CE, on the recommendation of the SEG (Primary Industry Group)</w:t>
            </w:r>
          </w:p>
        </w:tc>
      </w:tr>
      <w:tr w:rsidR="001E013F" w:rsidRPr="00510102" w14:paraId="5E775D0F" w14:textId="77777777" w:rsidTr="001E013F">
        <w:trPr>
          <w:trHeight w:val="1624"/>
        </w:trPr>
        <w:tc>
          <w:tcPr>
            <w:tcW w:w="1255" w:type="pct"/>
          </w:tcPr>
          <w:p w14:paraId="21A3DE59" w14:textId="2FCA95D3" w:rsidR="001E013F" w:rsidRPr="00510102" w:rsidRDefault="001E013F" w:rsidP="00887462">
            <w:pPr>
              <w:rPr>
                <w:rFonts w:ascii="Arial" w:hAnsi="Arial" w:cs="Arial"/>
                <w:b/>
                <w:lang w:bidi="en-NZ"/>
              </w:rPr>
            </w:pPr>
            <w:r w:rsidRPr="00510102">
              <w:rPr>
                <w:rFonts w:ascii="Arial" w:hAnsi="Arial" w:cs="Arial"/>
                <w:b/>
                <w:lang w:bidi="en-NZ"/>
              </w:rPr>
              <w:t>Governance Arrangements</w:t>
            </w:r>
          </w:p>
        </w:tc>
        <w:tc>
          <w:tcPr>
            <w:tcW w:w="1887" w:type="pct"/>
          </w:tcPr>
          <w:p w14:paraId="521069B8" w14:textId="77777777" w:rsidR="001E013F" w:rsidRPr="00510102" w:rsidRDefault="001E013F" w:rsidP="00887462">
            <w:pPr>
              <w:rPr>
                <w:rFonts w:ascii="Arial" w:hAnsi="Arial" w:cs="Arial"/>
                <w:lang w:bidi="en-NZ"/>
              </w:rPr>
            </w:pPr>
            <w:r w:rsidRPr="00510102">
              <w:rPr>
                <w:rFonts w:ascii="Arial" w:hAnsi="Arial" w:cs="Arial"/>
                <w:lang w:bidi="en-NZ"/>
              </w:rPr>
              <w:t>Good arrangements are proposed</w:t>
            </w:r>
          </w:p>
          <w:p w14:paraId="5ACD2930" w14:textId="77777777" w:rsidR="001E013F" w:rsidRPr="00510102" w:rsidRDefault="001E013F" w:rsidP="00887462">
            <w:pPr>
              <w:rPr>
                <w:rFonts w:ascii="Arial" w:hAnsi="Arial" w:cs="Arial"/>
                <w:lang w:bidi="en-NZ"/>
              </w:rPr>
            </w:pPr>
          </w:p>
          <w:p w14:paraId="44B4C175" w14:textId="156A1C5D" w:rsidR="001E013F" w:rsidRPr="00510102" w:rsidRDefault="001E013F" w:rsidP="00887462">
            <w:pPr>
              <w:rPr>
                <w:rFonts w:ascii="Arial" w:hAnsi="Arial" w:cs="Arial"/>
                <w:lang w:bidi="en-NZ"/>
              </w:rPr>
            </w:pPr>
            <w:r w:rsidRPr="00510102">
              <w:rPr>
                <w:rFonts w:ascii="Arial" w:hAnsi="Arial" w:cs="Arial"/>
                <w:i/>
                <w:iCs/>
                <w:lang w:bidi="en-NZ"/>
              </w:rPr>
              <w:t>from page 14 of the Consultation Proposal document</w:t>
            </w:r>
          </w:p>
          <w:p w14:paraId="2695CB4F" w14:textId="0BB1F29A" w:rsidR="001E013F" w:rsidRPr="00510102" w:rsidRDefault="001E013F" w:rsidP="00887462">
            <w:pPr>
              <w:rPr>
                <w:rFonts w:ascii="Arial" w:hAnsi="Arial" w:cs="Arial"/>
                <w:lang w:bidi="en-NZ"/>
              </w:rPr>
            </w:pPr>
          </w:p>
        </w:tc>
        <w:tc>
          <w:tcPr>
            <w:tcW w:w="1858" w:type="pct"/>
          </w:tcPr>
          <w:p w14:paraId="5CC74F7C" w14:textId="77777777" w:rsidR="001E013F" w:rsidRDefault="001E013F" w:rsidP="00887462">
            <w:pPr>
              <w:rPr>
                <w:rFonts w:ascii="Arial" w:hAnsi="Arial" w:cs="Arial"/>
                <w:lang w:bidi="en-NZ"/>
              </w:rPr>
            </w:pPr>
            <w:r w:rsidRPr="00510102">
              <w:rPr>
                <w:rFonts w:ascii="Arial" w:hAnsi="Arial" w:cs="Arial"/>
                <w:lang w:bidi="en-NZ"/>
              </w:rPr>
              <w:t>Support</w:t>
            </w:r>
            <w:r w:rsidR="00405D9F">
              <w:rPr>
                <w:rFonts w:ascii="Arial" w:hAnsi="Arial" w:cs="Arial"/>
                <w:lang w:bidi="en-NZ"/>
              </w:rPr>
              <w:t xml:space="preserve"> but submit that:</w:t>
            </w:r>
          </w:p>
          <w:p w14:paraId="5BA55A68" w14:textId="0C7F5CC3" w:rsidR="00405D9F" w:rsidRPr="00510102" w:rsidRDefault="00405D9F" w:rsidP="00887462">
            <w:pPr>
              <w:rPr>
                <w:rFonts w:ascii="Arial" w:hAnsi="Arial" w:cs="Arial"/>
                <w:lang w:bidi="en-NZ"/>
              </w:rPr>
            </w:pPr>
            <w:r>
              <w:rPr>
                <w:rFonts w:ascii="Arial" w:hAnsi="Arial" w:cs="Arial"/>
                <w:lang w:bidi="en-NZ"/>
              </w:rPr>
              <w:t>The tenure of Council members should be three not six years; and there needs to be an accountability mechanism inserted into the OiC</w:t>
            </w:r>
          </w:p>
        </w:tc>
      </w:tr>
      <w:tr w:rsidR="001E013F" w:rsidRPr="00510102" w14:paraId="554E00CB" w14:textId="77777777" w:rsidTr="001E013F">
        <w:trPr>
          <w:trHeight w:val="699"/>
        </w:trPr>
        <w:tc>
          <w:tcPr>
            <w:tcW w:w="1255" w:type="pct"/>
          </w:tcPr>
          <w:p w14:paraId="02EF4B11" w14:textId="6CFA59EB" w:rsidR="001E013F" w:rsidRPr="00510102" w:rsidRDefault="001E013F" w:rsidP="00887462">
            <w:pPr>
              <w:rPr>
                <w:rFonts w:ascii="Arial" w:hAnsi="Arial" w:cs="Arial"/>
                <w:b/>
                <w:lang w:bidi="en-NZ"/>
              </w:rPr>
            </w:pPr>
            <w:r w:rsidRPr="00510102">
              <w:rPr>
                <w:rFonts w:ascii="Arial" w:hAnsi="Arial" w:cs="Arial"/>
                <w:b/>
                <w:lang w:bidi="en-NZ"/>
              </w:rPr>
              <w:t>Mechanisms for Industry Engagement</w:t>
            </w:r>
          </w:p>
        </w:tc>
        <w:tc>
          <w:tcPr>
            <w:tcW w:w="1887" w:type="pct"/>
          </w:tcPr>
          <w:p w14:paraId="753F184C" w14:textId="7644F59C" w:rsidR="001E013F" w:rsidRPr="00510102" w:rsidRDefault="001E013F" w:rsidP="00887462">
            <w:pPr>
              <w:rPr>
                <w:rFonts w:ascii="Arial" w:hAnsi="Arial" w:cs="Arial"/>
                <w:lang w:bidi="en-NZ"/>
              </w:rPr>
            </w:pPr>
            <w:r w:rsidRPr="00510102">
              <w:rPr>
                <w:rFonts w:ascii="Arial" w:hAnsi="Arial" w:cs="Arial"/>
                <w:lang w:bidi="en-NZ"/>
              </w:rPr>
              <w:t>WDC must engage with industry peak bodies and unions</w:t>
            </w:r>
          </w:p>
          <w:p w14:paraId="4E8F51FD" w14:textId="247D10CD" w:rsidR="001E013F" w:rsidRPr="00510102" w:rsidRDefault="001E013F" w:rsidP="00887462">
            <w:pPr>
              <w:rPr>
                <w:rFonts w:ascii="Arial" w:hAnsi="Arial" w:cs="Arial"/>
                <w:lang w:bidi="en-NZ"/>
              </w:rPr>
            </w:pPr>
            <w:r w:rsidRPr="00510102">
              <w:rPr>
                <w:rFonts w:ascii="Arial" w:hAnsi="Arial" w:cs="Arial"/>
                <w:lang w:bidi="en-NZ"/>
              </w:rPr>
              <w:t>WDC may establish industry stakeholder groups</w:t>
            </w:r>
          </w:p>
          <w:p w14:paraId="1BE7D8BA" w14:textId="77777777" w:rsidR="001E013F" w:rsidRPr="00510102" w:rsidRDefault="001E013F" w:rsidP="00887462">
            <w:pPr>
              <w:rPr>
                <w:rFonts w:ascii="Arial" w:hAnsi="Arial" w:cs="Arial"/>
                <w:lang w:bidi="en-NZ"/>
              </w:rPr>
            </w:pPr>
          </w:p>
          <w:p w14:paraId="296B404B" w14:textId="1D6E8899" w:rsidR="001E013F" w:rsidRPr="00510102" w:rsidRDefault="001E013F" w:rsidP="00CB597C">
            <w:pPr>
              <w:rPr>
                <w:rFonts w:ascii="Arial" w:hAnsi="Arial" w:cs="Arial"/>
                <w:lang w:bidi="en-NZ"/>
              </w:rPr>
            </w:pPr>
            <w:r w:rsidRPr="00510102">
              <w:rPr>
                <w:rFonts w:ascii="Arial" w:hAnsi="Arial" w:cs="Arial"/>
                <w:i/>
                <w:iCs/>
                <w:lang w:bidi="en-NZ"/>
              </w:rPr>
              <w:lastRenderedPageBreak/>
              <w:t>page 21 of the Consultation Proposal document</w:t>
            </w:r>
          </w:p>
          <w:p w14:paraId="311F7BBC" w14:textId="28721D8E" w:rsidR="001E013F" w:rsidRPr="00510102" w:rsidRDefault="001E013F" w:rsidP="00887462">
            <w:pPr>
              <w:rPr>
                <w:rFonts w:ascii="Arial" w:hAnsi="Arial" w:cs="Arial"/>
                <w:lang w:bidi="en-NZ"/>
              </w:rPr>
            </w:pPr>
          </w:p>
        </w:tc>
        <w:tc>
          <w:tcPr>
            <w:tcW w:w="1858" w:type="pct"/>
          </w:tcPr>
          <w:p w14:paraId="07B2C4E5" w14:textId="45CB130E" w:rsidR="001E013F" w:rsidRPr="00510102" w:rsidRDefault="001E013F" w:rsidP="00887462">
            <w:pPr>
              <w:rPr>
                <w:rFonts w:ascii="Arial" w:hAnsi="Arial" w:cs="Arial"/>
                <w:lang w:bidi="en-NZ"/>
              </w:rPr>
            </w:pPr>
            <w:r w:rsidRPr="00510102">
              <w:rPr>
                <w:rFonts w:ascii="Arial" w:hAnsi="Arial" w:cs="Arial"/>
                <w:lang w:bidi="en-NZ"/>
              </w:rPr>
              <w:lastRenderedPageBreak/>
              <w:t>Support and submit that an industry peak body</w:t>
            </w:r>
            <w:r w:rsidR="00296A03">
              <w:rPr>
                <w:rFonts w:ascii="Arial" w:hAnsi="Arial" w:cs="Arial"/>
                <w:lang w:bidi="en-NZ"/>
              </w:rPr>
              <w:t xml:space="preserve"> be defined as</w:t>
            </w:r>
            <w:r w:rsidRPr="00510102">
              <w:rPr>
                <w:rFonts w:ascii="Arial" w:hAnsi="Arial" w:cs="Arial"/>
                <w:lang w:bidi="en-NZ"/>
              </w:rPr>
              <w:t xml:space="preserve"> (1) a body that is levy funded under the Commodities Levies Act OR (2) a body accepted by </w:t>
            </w:r>
            <w:r w:rsidRPr="00510102">
              <w:rPr>
                <w:rFonts w:ascii="Arial" w:hAnsi="Arial" w:cs="Arial"/>
                <w:lang w:bidi="en-NZ"/>
              </w:rPr>
              <w:lastRenderedPageBreak/>
              <w:t>the Council a peak body e.g. Federated Farmers</w:t>
            </w:r>
          </w:p>
          <w:p w14:paraId="3602BF64" w14:textId="77777777" w:rsidR="001E013F" w:rsidRPr="00510102" w:rsidRDefault="001E013F" w:rsidP="00887462">
            <w:pPr>
              <w:rPr>
                <w:rFonts w:ascii="Arial" w:hAnsi="Arial" w:cs="Arial"/>
                <w:lang w:bidi="en-NZ"/>
              </w:rPr>
            </w:pPr>
          </w:p>
          <w:p w14:paraId="1FDA9A62" w14:textId="57698314" w:rsidR="001E013F" w:rsidRPr="00510102" w:rsidRDefault="001E013F" w:rsidP="00887462">
            <w:pPr>
              <w:rPr>
                <w:rFonts w:ascii="Arial" w:hAnsi="Arial" w:cs="Arial"/>
                <w:lang w:bidi="en-NZ"/>
              </w:rPr>
            </w:pPr>
            <w:r w:rsidRPr="00510102">
              <w:rPr>
                <w:rFonts w:ascii="Arial" w:hAnsi="Arial" w:cs="Arial"/>
                <w:lang w:bidi="en-NZ"/>
              </w:rPr>
              <w:t xml:space="preserve">Also </w:t>
            </w:r>
            <w:r w:rsidR="00405D9F">
              <w:rPr>
                <w:rFonts w:ascii="Arial" w:hAnsi="Arial" w:cs="Arial"/>
                <w:lang w:bidi="en-NZ"/>
              </w:rPr>
              <w:t xml:space="preserve">we submit and </w:t>
            </w:r>
            <w:r w:rsidRPr="00510102">
              <w:rPr>
                <w:rFonts w:ascii="Arial" w:hAnsi="Arial" w:cs="Arial"/>
                <w:lang w:bidi="en-NZ"/>
              </w:rPr>
              <w:t>stress the absolute need for these groups to ensure that all sectors have contact with the WDC to ensure that mechanisms such as advisory groups are available to fill short or long- term knowledge and perspective gaps in the actual council</w:t>
            </w:r>
          </w:p>
        </w:tc>
      </w:tr>
      <w:tr w:rsidR="001E013F" w:rsidRPr="00510102" w14:paraId="145B0480" w14:textId="77777777" w:rsidTr="001E013F">
        <w:trPr>
          <w:trHeight w:val="2603"/>
        </w:trPr>
        <w:tc>
          <w:tcPr>
            <w:tcW w:w="1255" w:type="pct"/>
          </w:tcPr>
          <w:p w14:paraId="45AE1485" w14:textId="77777777" w:rsidR="001E013F" w:rsidRPr="00510102" w:rsidRDefault="001E013F" w:rsidP="00887462">
            <w:pPr>
              <w:rPr>
                <w:rFonts w:ascii="Arial" w:hAnsi="Arial" w:cs="Arial"/>
                <w:b/>
                <w:lang w:bidi="en-NZ"/>
              </w:rPr>
            </w:pPr>
            <w:r w:rsidRPr="00510102">
              <w:rPr>
                <w:rFonts w:ascii="Arial" w:hAnsi="Arial" w:cs="Arial"/>
                <w:b/>
                <w:lang w:bidi="en-NZ"/>
              </w:rPr>
              <w:lastRenderedPageBreak/>
              <w:t>Additional functions</w:t>
            </w:r>
          </w:p>
        </w:tc>
        <w:tc>
          <w:tcPr>
            <w:tcW w:w="1887" w:type="pct"/>
          </w:tcPr>
          <w:p w14:paraId="3A657BF7" w14:textId="77777777" w:rsidR="001E013F" w:rsidRPr="00510102" w:rsidRDefault="001E013F" w:rsidP="00A64169">
            <w:pPr>
              <w:pStyle w:val="BodyText"/>
              <w:numPr>
                <w:ilvl w:val="0"/>
                <w:numId w:val="8"/>
              </w:numPr>
              <w:spacing w:line="199" w:lineRule="exact"/>
              <w:rPr>
                <w:rFonts w:ascii="Arial" w:hAnsi="Arial" w:cs="Arial"/>
                <w:sz w:val="22"/>
                <w:szCs w:val="22"/>
              </w:rPr>
            </w:pPr>
            <w:r w:rsidRPr="00510102">
              <w:rPr>
                <w:rFonts w:ascii="Arial" w:hAnsi="Arial" w:cs="Arial"/>
                <w:sz w:val="22"/>
                <w:szCs w:val="22"/>
              </w:rPr>
              <w:t>to promote opportunities for all people to reach their full potential and capabilities by supporting quality vocational educational outcomes; and</w:t>
            </w:r>
          </w:p>
          <w:p w14:paraId="24F57B35" w14:textId="5FB5C97C" w:rsidR="001E013F" w:rsidRPr="00510102" w:rsidRDefault="001E013F" w:rsidP="00A64169">
            <w:pPr>
              <w:pStyle w:val="BodyText"/>
              <w:numPr>
                <w:ilvl w:val="0"/>
                <w:numId w:val="8"/>
              </w:numPr>
              <w:spacing w:line="199" w:lineRule="exact"/>
              <w:rPr>
                <w:rFonts w:ascii="Arial" w:hAnsi="Arial" w:cs="Arial"/>
                <w:sz w:val="22"/>
                <w:szCs w:val="22"/>
              </w:rPr>
            </w:pPr>
            <w:r w:rsidRPr="00510102">
              <w:rPr>
                <w:rFonts w:ascii="Arial" w:hAnsi="Arial" w:cs="Arial"/>
                <w:sz w:val="22"/>
                <w:szCs w:val="22"/>
              </w:rPr>
              <w:t>to address the needs and aspirations of priority learners including Pacific learners and people with disabilities.</w:t>
            </w:r>
          </w:p>
          <w:p w14:paraId="099DE6D0" w14:textId="77777777" w:rsidR="001E013F" w:rsidRPr="00510102" w:rsidRDefault="001E013F" w:rsidP="00887462">
            <w:pPr>
              <w:rPr>
                <w:rFonts w:ascii="Arial" w:hAnsi="Arial" w:cs="Arial"/>
                <w:lang w:bidi="en-NZ"/>
              </w:rPr>
            </w:pPr>
          </w:p>
          <w:p w14:paraId="09AC75BC" w14:textId="6B074555" w:rsidR="001E013F" w:rsidRPr="00510102" w:rsidRDefault="001E013F" w:rsidP="00A64169">
            <w:pPr>
              <w:rPr>
                <w:rFonts w:ascii="Arial" w:hAnsi="Arial" w:cs="Arial"/>
                <w:lang w:bidi="en-NZ"/>
              </w:rPr>
            </w:pPr>
            <w:r w:rsidRPr="00510102">
              <w:rPr>
                <w:rFonts w:ascii="Arial" w:hAnsi="Arial" w:cs="Arial"/>
                <w:i/>
                <w:iCs/>
                <w:lang w:bidi="en-NZ"/>
              </w:rPr>
              <w:t>page 21 of the Consultation Proposal document</w:t>
            </w:r>
          </w:p>
          <w:p w14:paraId="70345A3B" w14:textId="78846183" w:rsidR="001E013F" w:rsidRPr="00510102" w:rsidRDefault="001E013F" w:rsidP="00887462">
            <w:pPr>
              <w:rPr>
                <w:rFonts w:ascii="Arial" w:hAnsi="Arial" w:cs="Arial"/>
                <w:lang w:bidi="en-NZ"/>
              </w:rPr>
            </w:pPr>
          </w:p>
        </w:tc>
        <w:tc>
          <w:tcPr>
            <w:tcW w:w="1858" w:type="pct"/>
          </w:tcPr>
          <w:p w14:paraId="2C5634E8" w14:textId="64EE3663" w:rsidR="00405D9F" w:rsidRDefault="001E013F" w:rsidP="00405D9F">
            <w:pPr>
              <w:rPr>
                <w:rFonts w:ascii="Arial" w:hAnsi="Arial" w:cs="Arial"/>
                <w:lang w:bidi="en-NZ"/>
              </w:rPr>
            </w:pPr>
            <w:r w:rsidRPr="00510102">
              <w:rPr>
                <w:rFonts w:ascii="Arial" w:hAnsi="Arial" w:cs="Arial"/>
                <w:lang w:bidi="en-NZ"/>
              </w:rPr>
              <w:t>Support</w:t>
            </w:r>
            <w:r w:rsidR="00405D9F">
              <w:rPr>
                <w:rFonts w:ascii="Arial" w:hAnsi="Arial" w:cs="Arial"/>
                <w:lang w:bidi="en-NZ"/>
              </w:rPr>
              <w:t xml:space="preserve"> but to ensure that the str</w:t>
            </w:r>
            <w:r w:rsidR="007C4FB3">
              <w:rPr>
                <w:rFonts w:ascii="Arial" w:hAnsi="Arial" w:cs="Arial"/>
                <w:lang w:bidi="en-NZ"/>
              </w:rPr>
              <w:t>u</w:t>
            </w:r>
            <w:r w:rsidR="00405D9F">
              <w:rPr>
                <w:rFonts w:ascii="Arial" w:hAnsi="Arial" w:cs="Arial"/>
                <w:lang w:bidi="en-NZ"/>
              </w:rPr>
              <w:t>ctures that have hampered the ITOs the following functions be added to this section:</w:t>
            </w:r>
          </w:p>
          <w:p w14:paraId="26CBAD44" w14:textId="56A81344" w:rsidR="00405D9F" w:rsidRPr="00405D9F" w:rsidRDefault="00405D9F" w:rsidP="00405D9F">
            <w:pPr>
              <w:numPr>
                <w:ilvl w:val="0"/>
                <w:numId w:val="15"/>
              </w:numPr>
              <w:rPr>
                <w:rFonts w:ascii="Arial" w:hAnsi="Arial" w:cs="Arial"/>
                <w:lang w:bidi="en-NZ"/>
              </w:rPr>
            </w:pPr>
            <w:r w:rsidRPr="00405D9F">
              <w:rPr>
                <w:rFonts w:ascii="Arial" w:hAnsi="Arial" w:cs="Arial"/>
                <w:lang w:bidi="en-NZ"/>
              </w:rPr>
              <w:t>The WDC will consider how the entire skills ecosystem must be mobili</w:t>
            </w:r>
            <w:r>
              <w:rPr>
                <w:rFonts w:ascii="Arial" w:hAnsi="Arial" w:cs="Arial"/>
                <w:lang w:bidi="en-NZ"/>
              </w:rPr>
              <w:t>s</w:t>
            </w:r>
            <w:r w:rsidRPr="00405D9F">
              <w:rPr>
                <w:rFonts w:ascii="Arial" w:hAnsi="Arial" w:cs="Arial"/>
                <w:lang w:bidi="en-NZ"/>
              </w:rPr>
              <w:t>ed to build the capability we require in our future workforce. In addition to the vocational education sector, the WDC will provide advice to compulsory education, higher education, industry extension and professional development providers.</w:t>
            </w:r>
          </w:p>
          <w:p w14:paraId="6283B846" w14:textId="77777777" w:rsidR="00405D9F" w:rsidRPr="00405D9F" w:rsidRDefault="00405D9F" w:rsidP="00405D9F">
            <w:pPr>
              <w:numPr>
                <w:ilvl w:val="0"/>
                <w:numId w:val="15"/>
              </w:numPr>
              <w:rPr>
                <w:rFonts w:ascii="Arial" w:hAnsi="Arial" w:cs="Arial"/>
                <w:lang w:bidi="en-NZ"/>
              </w:rPr>
            </w:pPr>
            <w:r w:rsidRPr="00405D9F">
              <w:rPr>
                <w:rFonts w:ascii="Arial" w:hAnsi="Arial" w:cs="Arial"/>
                <w:lang w:bidi="en-NZ"/>
              </w:rPr>
              <w:t>The WDC may undertake commercial work on behalf of industry where it is aligned to the overall objectives and functions of WDC.</w:t>
            </w:r>
          </w:p>
          <w:p w14:paraId="79EC4E66" w14:textId="0065E254" w:rsidR="001E013F" w:rsidRPr="00510102" w:rsidRDefault="001E013F" w:rsidP="00887462">
            <w:pPr>
              <w:rPr>
                <w:rFonts w:ascii="Arial" w:hAnsi="Arial" w:cs="Arial"/>
                <w:lang w:bidi="en-NZ"/>
              </w:rPr>
            </w:pPr>
          </w:p>
        </w:tc>
      </w:tr>
      <w:tr w:rsidR="001E013F" w:rsidRPr="00510102" w14:paraId="48536D94" w14:textId="77777777" w:rsidTr="001E013F">
        <w:trPr>
          <w:trHeight w:val="2603"/>
        </w:trPr>
        <w:tc>
          <w:tcPr>
            <w:tcW w:w="1255" w:type="pct"/>
          </w:tcPr>
          <w:p w14:paraId="47682824" w14:textId="1C520666" w:rsidR="001E013F" w:rsidRPr="00510102" w:rsidRDefault="001E013F" w:rsidP="00887462">
            <w:pPr>
              <w:rPr>
                <w:rFonts w:ascii="Arial" w:hAnsi="Arial" w:cs="Arial"/>
                <w:b/>
                <w:lang w:bidi="en-NZ"/>
              </w:rPr>
            </w:pPr>
            <w:r w:rsidRPr="00510102">
              <w:rPr>
                <w:rFonts w:ascii="Arial" w:hAnsi="Arial" w:cs="Arial"/>
                <w:b/>
                <w:lang w:bidi="en-NZ"/>
              </w:rPr>
              <w:t>Funding of Vocation Education</w:t>
            </w:r>
          </w:p>
        </w:tc>
        <w:tc>
          <w:tcPr>
            <w:tcW w:w="1887" w:type="pct"/>
          </w:tcPr>
          <w:p w14:paraId="01D8CA38" w14:textId="1BF9E560" w:rsidR="001E013F" w:rsidRPr="00510102" w:rsidRDefault="001E013F" w:rsidP="001E013F">
            <w:pPr>
              <w:pStyle w:val="BodyText"/>
              <w:spacing w:line="199" w:lineRule="exact"/>
              <w:rPr>
                <w:rFonts w:ascii="Arial" w:hAnsi="Arial" w:cs="Arial"/>
                <w:sz w:val="22"/>
                <w:szCs w:val="22"/>
              </w:rPr>
            </w:pPr>
            <w:r w:rsidRPr="00510102">
              <w:rPr>
                <w:rFonts w:ascii="Arial" w:hAnsi="Arial" w:cs="Arial"/>
                <w:sz w:val="22"/>
                <w:szCs w:val="22"/>
              </w:rPr>
              <w:t>No proposal in the Consultation Documents</w:t>
            </w:r>
          </w:p>
        </w:tc>
        <w:tc>
          <w:tcPr>
            <w:tcW w:w="1858" w:type="pct"/>
          </w:tcPr>
          <w:p w14:paraId="74D2715A" w14:textId="43B19A66" w:rsidR="001E013F" w:rsidRPr="00510102" w:rsidRDefault="001E013F" w:rsidP="00B245AF">
            <w:pPr>
              <w:rPr>
                <w:rFonts w:ascii="Arial" w:hAnsi="Arial" w:cs="Arial"/>
                <w:lang w:bidi="en-NZ"/>
              </w:rPr>
            </w:pPr>
            <w:r w:rsidRPr="00510102">
              <w:rPr>
                <w:rFonts w:ascii="Arial" w:hAnsi="Arial" w:cs="Arial"/>
                <w:lang w:bidi="en-NZ"/>
              </w:rPr>
              <w:t xml:space="preserve">Submit that the WDC should determine the funding arrangements </w:t>
            </w:r>
            <w:r w:rsidR="00446C09">
              <w:rPr>
                <w:rFonts w:ascii="Arial" w:hAnsi="Arial" w:cs="Arial"/>
                <w:lang w:bidi="en-NZ"/>
              </w:rPr>
              <w:t>as was proposed in the original Reform of Vocational Education consultation documents</w:t>
            </w:r>
          </w:p>
        </w:tc>
      </w:tr>
    </w:tbl>
    <w:p w14:paraId="6EC51B2B" w14:textId="77777777" w:rsidR="005760A8" w:rsidRPr="00510102" w:rsidRDefault="005760A8" w:rsidP="00497E39">
      <w:pPr>
        <w:rPr>
          <w:rFonts w:ascii="Arial" w:hAnsi="Arial" w:cs="Arial"/>
        </w:rPr>
      </w:pPr>
    </w:p>
    <w:p w14:paraId="6912BA81" w14:textId="77777777" w:rsidR="00A1470B" w:rsidRPr="00510102" w:rsidRDefault="00A1470B">
      <w:pPr>
        <w:rPr>
          <w:rFonts w:ascii="Arial" w:hAnsi="Arial" w:cs="Arial"/>
        </w:rPr>
      </w:pPr>
    </w:p>
    <w:p w14:paraId="0E89C520" w14:textId="77777777" w:rsidR="00A1470B" w:rsidRPr="00510102" w:rsidRDefault="00A1470B">
      <w:pPr>
        <w:rPr>
          <w:rFonts w:ascii="Arial" w:hAnsi="Arial" w:cs="Arial"/>
        </w:rPr>
      </w:pPr>
    </w:p>
    <w:sectPr w:rsidR="00A1470B" w:rsidRPr="00510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E1887"/>
    <w:multiLevelType w:val="hybridMultilevel"/>
    <w:tmpl w:val="43AECB38"/>
    <w:lvl w:ilvl="0" w:tplc="9BE658D6">
      <w:start w:val="1"/>
      <w:numFmt w:val="bullet"/>
      <w:lvlText w:val="•"/>
      <w:lvlJc w:val="left"/>
      <w:pPr>
        <w:tabs>
          <w:tab w:val="num" w:pos="720"/>
        </w:tabs>
        <w:ind w:left="720" w:hanging="360"/>
      </w:pPr>
      <w:rPr>
        <w:rFonts w:ascii="Arial" w:hAnsi="Arial" w:hint="default"/>
      </w:rPr>
    </w:lvl>
    <w:lvl w:ilvl="1" w:tplc="94142F02" w:tentative="1">
      <w:start w:val="1"/>
      <w:numFmt w:val="bullet"/>
      <w:lvlText w:val="•"/>
      <w:lvlJc w:val="left"/>
      <w:pPr>
        <w:tabs>
          <w:tab w:val="num" w:pos="1440"/>
        </w:tabs>
        <w:ind w:left="1440" w:hanging="360"/>
      </w:pPr>
      <w:rPr>
        <w:rFonts w:ascii="Arial" w:hAnsi="Arial" w:hint="default"/>
      </w:rPr>
    </w:lvl>
    <w:lvl w:ilvl="2" w:tplc="B0A658EC" w:tentative="1">
      <w:start w:val="1"/>
      <w:numFmt w:val="bullet"/>
      <w:lvlText w:val="•"/>
      <w:lvlJc w:val="left"/>
      <w:pPr>
        <w:tabs>
          <w:tab w:val="num" w:pos="2160"/>
        </w:tabs>
        <w:ind w:left="2160" w:hanging="360"/>
      </w:pPr>
      <w:rPr>
        <w:rFonts w:ascii="Arial" w:hAnsi="Arial" w:hint="default"/>
      </w:rPr>
    </w:lvl>
    <w:lvl w:ilvl="3" w:tplc="C86AFD06" w:tentative="1">
      <w:start w:val="1"/>
      <w:numFmt w:val="bullet"/>
      <w:lvlText w:val="•"/>
      <w:lvlJc w:val="left"/>
      <w:pPr>
        <w:tabs>
          <w:tab w:val="num" w:pos="2880"/>
        </w:tabs>
        <w:ind w:left="2880" w:hanging="360"/>
      </w:pPr>
      <w:rPr>
        <w:rFonts w:ascii="Arial" w:hAnsi="Arial" w:hint="default"/>
      </w:rPr>
    </w:lvl>
    <w:lvl w:ilvl="4" w:tplc="52D8AAFE" w:tentative="1">
      <w:start w:val="1"/>
      <w:numFmt w:val="bullet"/>
      <w:lvlText w:val="•"/>
      <w:lvlJc w:val="left"/>
      <w:pPr>
        <w:tabs>
          <w:tab w:val="num" w:pos="3600"/>
        </w:tabs>
        <w:ind w:left="3600" w:hanging="360"/>
      </w:pPr>
      <w:rPr>
        <w:rFonts w:ascii="Arial" w:hAnsi="Arial" w:hint="default"/>
      </w:rPr>
    </w:lvl>
    <w:lvl w:ilvl="5" w:tplc="5BC641A0" w:tentative="1">
      <w:start w:val="1"/>
      <w:numFmt w:val="bullet"/>
      <w:lvlText w:val="•"/>
      <w:lvlJc w:val="left"/>
      <w:pPr>
        <w:tabs>
          <w:tab w:val="num" w:pos="4320"/>
        </w:tabs>
        <w:ind w:left="4320" w:hanging="360"/>
      </w:pPr>
      <w:rPr>
        <w:rFonts w:ascii="Arial" w:hAnsi="Arial" w:hint="default"/>
      </w:rPr>
    </w:lvl>
    <w:lvl w:ilvl="6" w:tplc="EDD0DB7A" w:tentative="1">
      <w:start w:val="1"/>
      <w:numFmt w:val="bullet"/>
      <w:lvlText w:val="•"/>
      <w:lvlJc w:val="left"/>
      <w:pPr>
        <w:tabs>
          <w:tab w:val="num" w:pos="5040"/>
        </w:tabs>
        <w:ind w:left="5040" w:hanging="360"/>
      </w:pPr>
      <w:rPr>
        <w:rFonts w:ascii="Arial" w:hAnsi="Arial" w:hint="default"/>
      </w:rPr>
    </w:lvl>
    <w:lvl w:ilvl="7" w:tplc="8E92E0D6" w:tentative="1">
      <w:start w:val="1"/>
      <w:numFmt w:val="bullet"/>
      <w:lvlText w:val="•"/>
      <w:lvlJc w:val="left"/>
      <w:pPr>
        <w:tabs>
          <w:tab w:val="num" w:pos="5760"/>
        </w:tabs>
        <w:ind w:left="5760" w:hanging="360"/>
      </w:pPr>
      <w:rPr>
        <w:rFonts w:ascii="Arial" w:hAnsi="Arial" w:hint="default"/>
      </w:rPr>
    </w:lvl>
    <w:lvl w:ilvl="8" w:tplc="F6361A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CD24D3"/>
    <w:multiLevelType w:val="hybridMultilevel"/>
    <w:tmpl w:val="BD0862D0"/>
    <w:lvl w:ilvl="0" w:tplc="F710AB28">
      <w:start w:val="1"/>
      <w:numFmt w:val="decimal"/>
      <w:lvlText w:val="%1."/>
      <w:lvlJc w:val="left"/>
      <w:pPr>
        <w:ind w:left="360" w:hanging="360"/>
      </w:pPr>
      <w:rPr>
        <w:rFonts w:ascii="Arial" w:hAnsi="Arial" w:cs="Arial" w:hint="default"/>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F9590B"/>
    <w:multiLevelType w:val="hybridMultilevel"/>
    <w:tmpl w:val="7B04D37A"/>
    <w:lvl w:ilvl="0" w:tplc="814E17F6">
      <w:numFmt w:val="bullet"/>
      <w:lvlText w:val="-"/>
      <w:lvlJc w:val="left"/>
      <w:pPr>
        <w:ind w:left="364" w:hanging="219"/>
      </w:pPr>
      <w:rPr>
        <w:rFonts w:ascii="Calibri" w:eastAsia="Calibri" w:hAnsi="Calibri" w:cs="Calibri" w:hint="default"/>
        <w:w w:val="99"/>
        <w:sz w:val="20"/>
        <w:szCs w:val="20"/>
        <w:lang w:val="en-NZ" w:eastAsia="en-NZ" w:bidi="en-NZ"/>
      </w:rPr>
    </w:lvl>
    <w:lvl w:ilvl="1" w:tplc="972AAB4C">
      <w:numFmt w:val="bullet"/>
      <w:lvlText w:val="•"/>
      <w:lvlJc w:val="left"/>
      <w:pPr>
        <w:ind w:left="680" w:hanging="219"/>
      </w:pPr>
      <w:rPr>
        <w:rFonts w:hint="default"/>
        <w:lang w:val="en-NZ" w:eastAsia="en-NZ" w:bidi="en-NZ"/>
      </w:rPr>
    </w:lvl>
    <w:lvl w:ilvl="2" w:tplc="0F34B414">
      <w:numFmt w:val="bullet"/>
      <w:lvlText w:val="•"/>
      <w:lvlJc w:val="left"/>
      <w:pPr>
        <w:ind w:left="1000" w:hanging="219"/>
      </w:pPr>
      <w:rPr>
        <w:rFonts w:hint="default"/>
        <w:lang w:val="en-NZ" w:eastAsia="en-NZ" w:bidi="en-NZ"/>
      </w:rPr>
    </w:lvl>
    <w:lvl w:ilvl="3" w:tplc="06D8D0CC">
      <w:numFmt w:val="bullet"/>
      <w:lvlText w:val="•"/>
      <w:lvlJc w:val="left"/>
      <w:pPr>
        <w:ind w:left="1320" w:hanging="219"/>
      </w:pPr>
      <w:rPr>
        <w:rFonts w:hint="default"/>
        <w:lang w:val="en-NZ" w:eastAsia="en-NZ" w:bidi="en-NZ"/>
      </w:rPr>
    </w:lvl>
    <w:lvl w:ilvl="4" w:tplc="C52CBEEA">
      <w:numFmt w:val="bullet"/>
      <w:lvlText w:val="•"/>
      <w:lvlJc w:val="left"/>
      <w:pPr>
        <w:ind w:left="1640" w:hanging="219"/>
      </w:pPr>
      <w:rPr>
        <w:rFonts w:hint="default"/>
        <w:lang w:val="en-NZ" w:eastAsia="en-NZ" w:bidi="en-NZ"/>
      </w:rPr>
    </w:lvl>
    <w:lvl w:ilvl="5" w:tplc="AD08A38C">
      <w:numFmt w:val="bullet"/>
      <w:lvlText w:val="•"/>
      <w:lvlJc w:val="left"/>
      <w:pPr>
        <w:ind w:left="1961" w:hanging="219"/>
      </w:pPr>
      <w:rPr>
        <w:rFonts w:hint="default"/>
        <w:lang w:val="en-NZ" w:eastAsia="en-NZ" w:bidi="en-NZ"/>
      </w:rPr>
    </w:lvl>
    <w:lvl w:ilvl="6" w:tplc="99AE303C">
      <w:numFmt w:val="bullet"/>
      <w:lvlText w:val="•"/>
      <w:lvlJc w:val="left"/>
      <w:pPr>
        <w:ind w:left="2281" w:hanging="219"/>
      </w:pPr>
      <w:rPr>
        <w:rFonts w:hint="default"/>
        <w:lang w:val="en-NZ" w:eastAsia="en-NZ" w:bidi="en-NZ"/>
      </w:rPr>
    </w:lvl>
    <w:lvl w:ilvl="7" w:tplc="B9D019B0">
      <w:numFmt w:val="bullet"/>
      <w:lvlText w:val="•"/>
      <w:lvlJc w:val="left"/>
      <w:pPr>
        <w:ind w:left="2601" w:hanging="219"/>
      </w:pPr>
      <w:rPr>
        <w:rFonts w:hint="default"/>
        <w:lang w:val="en-NZ" w:eastAsia="en-NZ" w:bidi="en-NZ"/>
      </w:rPr>
    </w:lvl>
    <w:lvl w:ilvl="8" w:tplc="E474F4B2">
      <w:numFmt w:val="bullet"/>
      <w:lvlText w:val="•"/>
      <w:lvlJc w:val="left"/>
      <w:pPr>
        <w:ind w:left="2921" w:hanging="219"/>
      </w:pPr>
      <w:rPr>
        <w:rFonts w:hint="default"/>
        <w:lang w:val="en-NZ" w:eastAsia="en-NZ" w:bidi="en-NZ"/>
      </w:rPr>
    </w:lvl>
  </w:abstractNum>
  <w:abstractNum w:abstractNumId="3" w15:restartNumberingAfterBreak="0">
    <w:nsid w:val="2FFE6497"/>
    <w:multiLevelType w:val="hybridMultilevel"/>
    <w:tmpl w:val="72C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A4016"/>
    <w:multiLevelType w:val="multilevel"/>
    <w:tmpl w:val="7790620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D4681"/>
    <w:multiLevelType w:val="hybridMultilevel"/>
    <w:tmpl w:val="0F98B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7435E4"/>
    <w:multiLevelType w:val="hybridMultilevel"/>
    <w:tmpl w:val="339AEAA0"/>
    <w:lvl w:ilvl="0" w:tplc="B3F43064">
      <w:numFmt w:val="bullet"/>
      <w:lvlText w:val=""/>
      <w:lvlJc w:val="left"/>
      <w:pPr>
        <w:ind w:left="860" w:hanging="360"/>
      </w:pPr>
      <w:rPr>
        <w:rFonts w:ascii="Symbol" w:eastAsia="Symbol" w:hAnsi="Symbol" w:cs="Symbol" w:hint="default"/>
        <w:w w:val="99"/>
        <w:sz w:val="20"/>
        <w:szCs w:val="20"/>
        <w:lang w:val="en-NZ" w:eastAsia="en-NZ" w:bidi="en-NZ"/>
      </w:rPr>
    </w:lvl>
    <w:lvl w:ilvl="1" w:tplc="BE96F6C4">
      <w:numFmt w:val="bullet"/>
      <w:lvlText w:val="o"/>
      <w:lvlJc w:val="left"/>
      <w:pPr>
        <w:ind w:left="1580" w:hanging="360"/>
      </w:pPr>
      <w:rPr>
        <w:rFonts w:ascii="Courier New" w:eastAsia="Courier New" w:hAnsi="Courier New" w:cs="Courier New" w:hint="default"/>
        <w:w w:val="99"/>
        <w:sz w:val="20"/>
        <w:szCs w:val="20"/>
        <w:lang w:val="en-NZ" w:eastAsia="en-NZ" w:bidi="en-NZ"/>
      </w:rPr>
    </w:lvl>
    <w:lvl w:ilvl="2" w:tplc="57943AD4">
      <w:numFmt w:val="bullet"/>
      <w:lvlText w:val=""/>
      <w:lvlJc w:val="left"/>
      <w:pPr>
        <w:ind w:left="2300" w:hanging="360"/>
      </w:pPr>
      <w:rPr>
        <w:rFonts w:ascii="Wingdings" w:eastAsia="Wingdings" w:hAnsi="Wingdings" w:cs="Wingdings" w:hint="default"/>
        <w:w w:val="99"/>
        <w:sz w:val="20"/>
        <w:szCs w:val="20"/>
        <w:lang w:val="en-NZ" w:eastAsia="en-NZ" w:bidi="en-NZ"/>
      </w:rPr>
    </w:lvl>
    <w:lvl w:ilvl="3" w:tplc="32A40738">
      <w:numFmt w:val="bullet"/>
      <w:lvlText w:val="•"/>
      <w:lvlJc w:val="left"/>
      <w:pPr>
        <w:ind w:left="3173" w:hanging="360"/>
      </w:pPr>
      <w:rPr>
        <w:rFonts w:hint="default"/>
        <w:lang w:val="en-NZ" w:eastAsia="en-NZ" w:bidi="en-NZ"/>
      </w:rPr>
    </w:lvl>
    <w:lvl w:ilvl="4" w:tplc="3FBEBCDA">
      <w:numFmt w:val="bullet"/>
      <w:lvlText w:val="•"/>
      <w:lvlJc w:val="left"/>
      <w:pPr>
        <w:ind w:left="4046" w:hanging="360"/>
      </w:pPr>
      <w:rPr>
        <w:rFonts w:hint="default"/>
        <w:lang w:val="en-NZ" w:eastAsia="en-NZ" w:bidi="en-NZ"/>
      </w:rPr>
    </w:lvl>
    <w:lvl w:ilvl="5" w:tplc="6CB255DE">
      <w:numFmt w:val="bullet"/>
      <w:lvlText w:val="•"/>
      <w:lvlJc w:val="left"/>
      <w:pPr>
        <w:ind w:left="4919" w:hanging="360"/>
      </w:pPr>
      <w:rPr>
        <w:rFonts w:hint="default"/>
        <w:lang w:val="en-NZ" w:eastAsia="en-NZ" w:bidi="en-NZ"/>
      </w:rPr>
    </w:lvl>
    <w:lvl w:ilvl="6" w:tplc="85A8FEF0">
      <w:numFmt w:val="bullet"/>
      <w:lvlText w:val="•"/>
      <w:lvlJc w:val="left"/>
      <w:pPr>
        <w:ind w:left="5793" w:hanging="360"/>
      </w:pPr>
      <w:rPr>
        <w:rFonts w:hint="default"/>
        <w:lang w:val="en-NZ" w:eastAsia="en-NZ" w:bidi="en-NZ"/>
      </w:rPr>
    </w:lvl>
    <w:lvl w:ilvl="7" w:tplc="C51408F0">
      <w:numFmt w:val="bullet"/>
      <w:lvlText w:val="•"/>
      <w:lvlJc w:val="left"/>
      <w:pPr>
        <w:ind w:left="6666" w:hanging="360"/>
      </w:pPr>
      <w:rPr>
        <w:rFonts w:hint="default"/>
        <w:lang w:val="en-NZ" w:eastAsia="en-NZ" w:bidi="en-NZ"/>
      </w:rPr>
    </w:lvl>
    <w:lvl w:ilvl="8" w:tplc="52587F56">
      <w:numFmt w:val="bullet"/>
      <w:lvlText w:val="•"/>
      <w:lvlJc w:val="left"/>
      <w:pPr>
        <w:ind w:left="7539" w:hanging="360"/>
      </w:pPr>
      <w:rPr>
        <w:rFonts w:hint="default"/>
        <w:lang w:val="en-NZ" w:eastAsia="en-NZ" w:bidi="en-NZ"/>
      </w:rPr>
    </w:lvl>
  </w:abstractNum>
  <w:abstractNum w:abstractNumId="7" w15:restartNumberingAfterBreak="0">
    <w:nsid w:val="3D342BDB"/>
    <w:multiLevelType w:val="hybridMultilevel"/>
    <w:tmpl w:val="64CC6CC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412F7B4A"/>
    <w:multiLevelType w:val="hybridMultilevel"/>
    <w:tmpl w:val="19F060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353556"/>
    <w:multiLevelType w:val="multilevel"/>
    <w:tmpl w:val="B28C3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AD690C"/>
    <w:multiLevelType w:val="hybridMultilevel"/>
    <w:tmpl w:val="5F4C73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A200081"/>
    <w:multiLevelType w:val="hybridMultilevel"/>
    <w:tmpl w:val="2CBA47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BFE7673"/>
    <w:multiLevelType w:val="hybridMultilevel"/>
    <w:tmpl w:val="D646D34C"/>
    <w:lvl w:ilvl="0" w:tplc="14090001">
      <w:start w:val="1"/>
      <w:numFmt w:val="bullet"/>
      <w:lvlText w:val=""/>
      <w:lvlJc w:val="left"/>
      <w:pPr>
        <w:ind w:left="395" w:hanging="360"/>
      </w:pPr>
      <w:rPr>
        <w:rFonts w:ascii="Symbol" w:hAnsi="Symbol" w:hint="default"/>
      </w:rPr>
    </w:lvl>
    <w:lvl w:ilvl="1" w:tplc="14090003" w:tentative="1">
      <w:start w:val="1"/>
      <w:numFmt w:val="bullet"/>
      <w:lvlText w:val="o"/>
      <w:lvlJc w:val="left"/>
      <w:pPr>
        <w:ind w:left="1115" w:hanging="360"/>
      </w:pPr>
      <w:rPr>
        <w:rFonts w:ascii="Courier New" w:hAnsi="Courier New" w:cs="Courier New" w:hint="default"/>
      </w:rPr>
    </w:lvl>
    <w:lvl w:ilvl="2" w:tplc="14090005" w:tentative="1">
      <w:start w:val="1"/>
      <w:numFmt w:val="bullet"/>
      <w:lvlText w:val=""/>
      <w:lvlJc w:val="left"/>
      <w:pPr>
        <w:ind w:left="1835" w:hanging="360"/>
      </w:pPr>
      <w:rPr>
        <w:rFonts w:ascii="Wingdings" w:hAnsi="Wingdings" w:hint="default"/>
      </w:rPr>
    </w:lvl>
    <w:lvl w:ilvl="3" w:tplc="14090001" w:tentative="1">
      <w:start w:val="1"/>
      <w:numFmt w:val="bullet"/>
      <w:lvlText w:val=""/>
      <w:lvlJc w:val="left"/>
      <w:pPr>
        <w:ind w:left="2555" w:hanging="360"/>
      </w:pPr>
      <w:rPr>
        <w:rFonts w:ascii="Symbol" w:hAnsi="Symbol" w:hint="default"/>
      </w:rPr>
    </w:lvl>
    <w:lvl w:ilvl="4" w:tplc="14090003" w:tentative="1">
      <w:start w:val="1"/>
      <w:numFmt w:val="bullet"/>
      <w:lvlText w:val="o"/>
      <w:lvlJc w:val="left"/>
      <w:pPr>
        <w:ind w:left="3275" w:hanging="360"/>
      </w:pPr>
      <w:rPr>
        <w:rFonts w:ascii="Courier New" w:hAnsi="Courier New" w:cs="Courier New" w:hint="default"/>
      </w:rPr>
    </w:lvl>
    <w:lvl w:ilvl="5" w:tplc="14090005" w:tentative="1">
      <w:start w:val="1"/>
      <w:numFmt w:val="bullet"/>
      <w:lvlText w:val=""/>
      <w:lvlJc w:val="left"/>
      <w:pPr>
        <w:ind w:left="3995" w:hanging="360"/>
      </w:pPr>
      <w:rPr>
        <w:rFonts w:ascii="Wingdings" w:hAnsi="Wingdings" w:hint="default"/>
      </w:rPr>
    </w:lvl>
    <w:lvl w:ilvl="6" w:tplc="14090001" w:tentative="1">
      <w:start w:val="1"/>
      <w:numFmt w:val="bullet"/>
      <w:lvlText w:val=""/>
      <w:lvlJc w:val="left"/>
      <w:pPr>
        <w:ind w:left="4715" w:hanging="360"/>
      </w:pPr>
      <w:rPr>
        <w:rFonts w:ascii="Symbol" w:hAnsi="Symbol" w:hint="default"/>
      </w:rPr>
    </w:lvl>
    <w:lvl w:ilvl="7" w:tplc="14090003" w:tentative="1">
      <w:start w:val="1"/>
      <w:numFmt w:val="bullet"/>
      <w:lvlText w:val="o"/>
      <w:lvlJc w:val="left"/>
      <w:pPr>
        <w:ind w:left="5435" w:hanging="360"/>
      </w:pPr>
      <w:rPr>
        <w:rFonts w:ascii="Courier New" w:hAnsi="Courier New" w:cs="Courier New" w:hint="default"/>
      </w:rPr>
    </w:lvl>
    <w:lvl w:ilvl="8" w:tplc="14090005" w:tentative="1">
      <w:start w:val="1"/>
      <w:numFmt w:val="bullet"/>
      <w:lvlText w:val=""/>
      <w:lvlJc w:val="left"/>
      <w:pPr>
        <w:ind w:left="6155" w:hanging="360"/>
      </w:pPr>
      <w:rPr>
        <w:rFonts w:ascii="Wingdings" w:hAnsi="Wingdings" w:hint="default"/>
      </w:rPr>
    </w:lvl>
  </w:abstractNum>
  <w:abstractNum w:abstractNumId="13" w15:restartNumberingAfterBreak="0">
    <w:nsid w:val="5D92649F"/>
    <w:multiLevelType w:val="hybridMultilevel"/>
    <w:tmpl w:val="D5CC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76E6B"/>
    <w:multiLevelType w:val="hybridMultilevel"/>
    <w:tmpl w:val="B7666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AB72D8"/>
    <w:multiLevelType w:val="hybridMultilevel"/>
    <w:tmpl w:val="26AABFEE"/>
    <w:lvl w:ilvl="0" w:tplc="8BFEFE38">
      <w:start w:val="1"/>
      <w:numFmt w:val="bullet"/>
      <w:lvlText w:val="•"/>
      <w:lvlJc w:val="left"/>
      <w:pPr>
        <w:tabs>
          <w:tab w:val="num" w:pos="720"/>
        </w:tabs>
        <w:ind w:left="720" w:hanging="360"/>
      </w:pPr>
      <w:rPr>
        <w:rFonts w:ascii="Arial" w:hAnsi="Arial" w:hint="default"/>
      </w:rPr>
    </w:lvl>
    <w:lvl w:ilvl="1" w:tplc="673244D4" w:tentative="1">
      <w:start w:val="1"/>
      <w:numFmt w:val="bullet"/>
      <w:lvlText w:val="•"/>
      <w:lvlJc w:val="left"/>
      <w:pPr>
        <w:tabs>
          <w:tab w:val="num" w:pos="1440"/>
        </w:tabs>
        <w:ind w:left="1440" w:hanging="360"/>
      </w:pPr>
      <w:rPr>
        <w:rFonts w:ascii="Arial" w:hAnsi="Arial" w:hint="default"/>
      </w:rPr>
    </w:lvl>
    <w:lvl w:ilvl="2" w:tplc="E2F0D618" w:tentative="1">
      <w:start w:val="1"/>
      <w:numFmt w:val="bullet"/>
      <w:lvlText w:val="•"/>
      <w:lvlJc w:val="left"/>
      <w:pPr>
        <w:tabs>
          <w:tab w:val="num" w:pos="2160"/>
        </w:tabs>
        <w:ind w:left="2160" w:hanging="360"/>
      </w:pPr>
      <w:rPr>
        <w:rFonts w:ascii="Arial" w:hAnsi="Arial" w:hint="default"/>
      </w:rPr>
    </w:lvl>
    <w:lvl w:ilvl="3" w:tplc="FFC49CB8" w:tentative="1">
      <w:start w:val="1"/>
      <w:numFmt w:val="bullet"/>
      <w:lvlText w:val="•"/>
      <w:lvlJc w:val="left"/>
      <w:pPr>
        <w:tabs>
          <w:tab w:val="num" w:pos="2880"/>
        </w:tabs>
        <w:ind w:left="2880" w:hanging="360"/>
      </w:pPr>
      <w:rPr>
        <w:rFonts w:ascii="Arial" w:hAnsi="Arial" w:hint="default"/>
      </w:rPr>
    </w:lvl>
    <w:lvl w:ilvl="4" w:tplc="C45A4F0E" w:tentative="1">
      <w:start w:val="1"/>
      <w:numFmt w:val="bullet"/>
      <w:lvlText w:val="•"/>
      <w:lvlJc w:val="left"/>
      <w:pPr>
        <w:tabs>
          <w:tab w:val="num" w:pos="3600"/>
        </w:tabs>
        <w:ind w:left="3600" w:hanging="360"/>
      </w:pPr>
      <w:rPr>
        <w:rFonts w:ascii="Arial" w:hAnsi="Arial" w:hint="default"/>
      </w:rPr>
    </w:lvl>
    <w:lvl w:ilvl="5" w:tplc="28A2157C" w:tentative="1">
      <w:start w:val="1"/>
      <w:numFmt w:val="bullet"/>
      <w:lvlText w:val="•"/>
      <w:lvlJc w:val="left"/>
      <w:pPr>
        <w:tabs>
          <w:tab w:val="num" w:pos="4320"/>
        </w:tabs>
        <w:ind w:left="4320" w:hanging="360"/>
      </w:pPr>
      <w:rPr>
        <w:rFonts w:ascii="Arial" w:hAnsi="Arial" w:hint="default"/>
      </w:rPr>
    </w:lvl>
    <w:lvl w:ilvl="6" w:tplc="9B8E16BE" w:tentative="1">
      <w:start w:val="1"/>
      <w:numFmt w:val="bullet"/>
      <w:lvlText w:val="•"/>
      <w:lvlJc w:val="left"/>
      <w:pPr>
        <w:tabs>
          <w:tab w:val="num" w:pos="5040"/>
        </w:tabs>
        <w:ind w:left="5040" w:hanging="360"/>
      </w:pPr>
      <w:rPr>
        <w:rFonts w:ascii="Arial" w:hAnsi="Arial" w:hint="default"/>
      </w:rPr>
    </w:lvl>
    <w:lvl w:ilvl="7" w:tplc="C888BEFA" w:tentative="1">
      <w:start w:val="1"/>
      <w:numFmt w:val="bullet"/>
      <w:lvlText w:val="•"/>
      <w:lvlJc w:val="left"/>
      <w:pPr>
        <w:tabs>
          <w:tab w:val="num" w:pos="5760"/>
        </w:tabs>
        <w:ind w:left="5760" w:hanging="360"/>
      </w:pPr>
      <w:rPr>
        <w:rFonts w:ascii="Arial" w:hAnsi="Arial" w:hint="default"/>
      </w:rPr>
    </w:lvl>
    <w:lvl w:ilvl="8" w:tplc="2272E9B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0"/>
  </w:num>
  <w:num w:numId="3">
    <w:abstractNumId w:val="15"/>
  </w:num>
  <w:num w:numId="4">
    <w:abstractNumId w:val="10"/>
  </w:num>
  <w:num w:numId="5">
    <w:abstractNumId w:val="2"/>
  </w:num>
  <w:num w:numId="6">
    <w:abstractNumId w:val="6"/>
  </w:num>
  <w:num w:numId="7">
    <w:abstractNumId w:val="10"/>
  </w:num>
  <w:num w:numId="8">
    <w:abstractNumId w:val="12"/>
  </w:num>
  <w:num w:numId="9">
    <w:abstractNumId w:val="1"/>
  </w:num>
  <w:num w:numId="10">
    <w:abstractNumId w:val="9"/>
  </w:num>
  <w:num w:numId="11">
    <w:abstractNumId w:val="4"/>
  </w:num>
  <w:num w:numId="12">
    <w:abstractNumId w:val="7"/>
  </w:num>
  <w:num w:numId="13">
    <w:abstractNumId w:val="13"/>
  </w:num>
  <w:num w:numId="14">
    <w:abstractNumId w:val="3"/>
  </w:num>
  <w:num w:numId="15">
    <w:abstractNumId w:val="5"/>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zNLE0NjIzNzcxNjBS0lEKTi0uzszPAykwrAUA0FDSDSwAAAA="/>
  </w:docVars>
  <w:rsids>
    <w:rsidRoot w:val="00A1470B"/>
    <w:rsid w:val="00197787"/>
    <w:rsid w:val="001D4A69"/>
    <w:rsid w:val="001E013F"/>
    <w:rsid w:val="002164FC"/>
    <w:rsid w:val="00296A03"/>
    <w:rsid w:val="002C3692"/>
    <w:rsid w:val="002D712D"/>
    <w:rsid w:val="002E1B07"/>
    <w:rsid w:val="00312EF7"/>
    <w:rsid w:val="0032014C"/>
    <w:rsid w:val="003A56D1"/>
    <w:rsid w:val="003A7527"/>
    <w:rsid w:val="003C2BA9"/>
    <w:rsid w:val="0040270A"/>
    <w:rsid w:val="00405D9F"/>
    <w:rsid w:val="00446C09"/>
    <w:rsid w:val="00460546"/>
    <w:rsid w:val="00490963"/>
    <w:rsid w:val="00497E39"/>
    <w:rsid w:val="004B219B"/>
    <w:rsid w:val="00510102"/>
    <w:rsid w:val="00544AA7"/>
    <w:rsid w:val="005760A8"/>
    <w:rsid w:val="005D2AA2"/>
    <w:rsid w:val="00602BD2"/>
    <w:rsid w:val="00676D2E"/>
    <w:rsid w:val="00713E7A"/>
    <w:rsid w:val="007C4FB3"/>
    <w:rsid w:val="007D33FE"/>
    <w:rsid w:val="00876894"/>
    <w:rsid w:val="00887462"/>
    <w:rsid w:val="00A1470B"/>
    <w:rsid w:val="00A64169"/>
    <w:rsid w:val="00B245AF"/>
    <w:rsid w:val="00BB7218"/>
    <w:rsid w:val="00CB597C"/>
    <w:rsid w:val="00E10E05"/>
    <w:rsid w:val="00EC3AC6"/>
    <w:rsid w:val="00ED28D7"/>
    <w:rsid w:val="00EF42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8908"/>
  <w15:chartTrackingRefBased/>
  <w15:docId w15:val="{C0D05FA9-0266-4B88-AD2F-37EBCDA2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70B"/>
    <w:pPr>
      <w:ind w:left="720"/>
      <w:contextualSpacing/>
    </w:pPr>
  </w:style>
  <w:style w:type="paragraph" w:styleId="BodyText">
    <w:name w:val="Body Text"/>
    <w:basedOn w:val="Normal"/>
    <w:link w:val="BodyTextChar"/>
    <w:uiPriority w:val="1"/>
    <w:qFormat/>
    <w:rsid w:val="0032014C"/>
    <w:pPr>
      <w:widowControl w:val="0"/>
      <w:autoSpaceDE w:val="0"/>
      <w:autoSpaceDN w:val="0"/>
    </w:pPr>
    <w:rPr>
      <w:rFonts w:ascii="Calibri" w:eastAsia="Calibri" w:hAnsi="Calibri" w:cs="Calibri"/>
      <w:sz w:val="20"/>
      <w:szCs w:val="20"/>
      <w:lang w:eastAsia="en-NZ" w:bidi="en-NZ"/>
    </w:rPr>
  </w:style>
  <w:style w:type="character" w:customStyle="1" w:styleId="BodyTextChar">
    <w:name w:val="Body Text Char"/>
    <w:basedOn w:val="DefaultParagraphFont"/>
    <w:link w:val="BodyText"/>
    <w:uiPriority w:val="1"/>
    <w:rsid w:val="0032014C"/>
    <w:rPr>
      <w:rFonts w:ascii="Calibri" w:eastAsia="Calibri" w:hAnsi="Calibri" w:cs="Calibri"/>
      <w:sz w:val="20"/>
      <w:szCs w:val="20"/>
      <w:lang w:eastAsia="en-NZ" w:bidi="en-NZ"/>
    </w:rPr>
  </w:style>
  <w:style w:type="character" w:styleId="Hyperlink">
    <w:name w:val="Hyperlink"/>
    <w:basedOn w:val="DefaultParagraphFont"/>
    <w:uiPriority w:val="99"/>
    <w:unhideWhenUsed/>
    <w:rsid w:val="00510102"/>
    <w:rPr>
      <w:color w:val="0563C1" w:themeColor="hyperlink"/>
      <w:u w:val="single"/>
    </w:rPr>
  </w:style>
  <w:style w:type="character" w:styleId="UnresolvedMention">
    <w:name w:val="Unresolved Mention"/>
    <w:basedOn w:val="DefaultParagraphFont"/>
    <w:uiPriority w:val="99"/>
    <w:semiHidden/>
    <w:unhideWhenUsed/>
    <w:rsid w:val="00510102"/>
    <w:rPr>
      <w:color w:val="605E5C"/>
      <w:shd w:val="clear" w:color="auto" w:fill="E1DFDD"/>
    </w:rPr>
  </w:style>
  <w:style w:type="character" w:styleId="CommentReference">
    <w:name w:val="annotation reference"/>
    <w:basedOn w:val="DefaultParagraphFont"/>
    <w:uiPriority w:val="99"/>
    <w:semiHidden/>
    <w:unhideWhenUsed/>
    <w:rsid w:val="00EC3AC6"/>
    <w:rPr>
      <w:sz w:val="16"/>
      <w:szCs w:val="16"/>
    </w:rPr>
  </w:style>
  <w:style w:type="paragraph" w:styleId="CommentText">
    <w:name w:val="annotation text"/>
    <w:basedOn w:val="Normal"/>
    <w:link w:val="CommentTextChar"/>
    <w:uiPriority w:val="99"/>
    <w:semiHidden/>
    <w:unhideWhenUsed/>
    <w:rsid w:val="00EC3AC6"/>
    <w:rPr>
      <w:sz w:val="20"/>
      <w:szCs w:val="20"/>
    </w:rPr>
  </w:style>
  <w:style w:type="character" w:customStyle="1" w:styleId="CommentTextChar">
    <w:name w:val="Comment Text Char"/>
    <w:basedOn w:val="DefaultParagraphFont"/>
    <w:link w:val="CommentText"/>
    <w:uiPriority w:val="99"/>
    <w:semiHidden/>
    <w:rsid w:val="00EC3AC6"/>
    <w:rPr>
      <w:sz w:val="20"/>
      <w:szCs w:val="20"/>
    </w:rPr>
  </w:style>
  <w:style w:type="paragraph" w:styleId="CommentSubject">
    <w:name w:val="annotation subject"/>
    <w:basedOn w:val="CommentText"/>
    <w:next w:val="CommentText"/>
    <w:link w:val="CommentSubjectChar"/>
    <w:uiPriority w:val="99"/>
    <w:semiHidden/>
    <w:unhideWhenUsed/>
    <w:rsid w:val="00EC3AC6"/>
    <w:rPr>
      <w:b/>
      <w:bCs/>
    </w:rPr>
  </w:style>
  <w:style w:type="character" w:customStyle="1" w:styleId="CommentSubjectChar">
    <w:name w:val="Comment Subject Char"/>
    <w:basedOn w:val="CommentTextChar"/>
    <w:link w:val="CommentSubject"/>
    <w:uiPriority w:val="99"/>
    <w:semiHidden/>
    <w:rsid w:val="00EC3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8053">
      <w:bodyDiv w:val="1"/>
      <w:marLeft w:val="0"/>
      <w:marRight w:val="0"/>
      <w:marTop w:val="0"/>
      <w:marBottom w:val="0"/>
      <w:divBdr>
        <w:top w:val="none" w:sz="0" w:space="0" w:color="auto"/>
        <w:left w:val="none" w:sz="0" w:space="0" w:color="auto"/>
        <w:bottom w:val="none" w:sz="0" w:space="0" w:color="auto"/>
        <w:right w:val="none" w:sz="0" w:space="0" w:color="auto"/>
      </w:divBdr>
    </w:div>
    <w:div w:id="335495701">
      <w:bodyDiv w:val="1"/>
      <w:marLeft w:val="0"/>
      <w:marRight w:val="0"/>
      <w:marTop w:val="0"/>
      <w:marBottom w:val="0"/>
      <w:divBdr>
        <w:top w:val="none" w:sz="0" w:space="0" w:color="auto"/>
        <w:left w:val="none" w:sz="0" w:space="0" w:color="auto"/>
        <w:bottom w:val="none" w:sz="0" w:space="0" w:color="auto"/>
        <w:right w:val="none" w:sz="0" w:space="0" w:color="auto"/>
      </w:divBdr>
      <w:divsChild>
        <w:div w:id="1338508528">
          <w:marLeft w:val="504"/>
          <w:marRight w:val="0"/>
          <w:marTop w:val="120"/>
          <w:marBottom w:val="120"/>
          <w:divBdr>
            <w:top w:val="none" w:sz="0" w:space="0" w:color="auto"/>
            <w:left w:val="none" w:sz="0" w:space="0" w:color="auto"/>
            <w:bottom w:val="none" w:sz="0" w:space="0" w:color="auto"/>
            <w:right w:val="none" w:sz="0" w:space="0" w:color="auto"/>
          </w:divBdr>
        </w:div>
        <w:div w:id="502890077">
          <w:marLeft w:val="504"/>
          <w:marRight w:val="0"/>
          <w:marTop w:val="120"/>
          <w:marBottom w:val="120"/>
          <w:divBdr>
            <w:top w:val="none" w:sz="0" w:space="0" w:color="auto"/>
            <w:left w:val="none" w:sz="0" w:space="0" w:color="auto"/>
            <w:bottom w:val="none" w:sz="0" w:space="0" w:color="auto"/>
            <w:right w:val="none" w:sz="0" w:space="0" w:color="auto"/>
          </w:divBdr>
        </w:div>
        <w:div w:id="1036853514">
          <w:marLeft w:val="504"/>
          <w:marRight w:val="0"/>
          <w:marTop w:val="120"/>
          <w:marBottom w:val="120"/>
          <w:divBdr>
            <w:top w:val="none" w:sz="0" w:space="0" w:color="auto"/>
            <w:left w:val="none" w:sz="0" w:space="0" w:color="auto"/>
            <w:bottom w:val="none" w:sz="0" w:space="0" w:color="auto"/>
            <w:right w:val="none" w:sz="0" w:space="0" w:color="auto"/>
          </w:divBdr>
        </w:div>
        <w:div w:id="566039779">
          <w:marLeft w:val="504"/>
          <w:marRight w:val="0"/>
          <w:marTop w:val="120"/>
          <w:marBottom w:val="120"/>
          <w:divBdr>
            <w:top w:val="none" w:sz="0" w:space="0" w:color="auto"/>
            <w:left w:val="none" w:sz="0" w:space="0" w:color="auto"/>
            <w:bottom w:val="none" w:sz="0" w:space="0" w:color="auto"/>
            <w:right w:val="none" w:sz="0" w:space="0" w:color="auto"/>
          </w:divBdr>
        </w:div>
        <w:div w:id="678578865">
          <w:marLeft w:val="504"/>
          <w:marRight w:val="0"/>
          <w:marTop w:val="120"/>
          <w:marBottom w:val="120"/>
          <w:divBdr>
            <w:top w:val="none" w:sz="0" w:space="0" w:color="auto"/>
            <w:left w:val="none" w:sz="0" w:space="0" w:color="auto"/>
            <w:bottom w:val="none" w:sz="0" w:space="0" w:color="auto"/>
            <w:right w:val="none" w:sz="0" w:space="0" w:color="auto"/>
          </w:divBdr>
        </w:div>
      </w:divsChild>
    </w:div>
    <w:div w:id="1775173895">
      <w:bodyDiv w:val="1"/>
      <w:marLeft w:val="0"/>
      <w:marRight w:val="0"/>
      <w:marTop w:val="0"/>
      <w:marBottom w:val="0"/>
      <w:divBdr>
        <w:top w:val="none" w:sz="0" w:space="0" w:color="auto"/>
        <w:left w:val="none" w:sz="0" w:space="0" w:color="auto"/>
        <w:bottom w:val="none" w:sz="0" w:space="0" w:color="auto"/>
        <w:right w:val="none" w:sz="0" w:space="0" w:color="auto"/>
      </w:divBdr>
    </w:div>
    <w:div w:id="1898279983">
      <w:bodyDiv w:val="1"/>
      <w:marLeft w:val="0"/>
      <w:marRight w:val="0"/>
      <w:marTop w:val="0"/>
      <w:marBottom w:val="0"/>
      <w:divBdr>
        <w:top w:val="none" w:sz="0" w:space="0" w:color="auto"/>
        <w:left w:val="none" w:sz="0" w:space="0" w:color="auto"/>
        <w:bottom w:val="none" w:sz="0" w:space="0" w:color="auto"/>
        <w:right w:val="none" w:sz="0" w:space="0" w:color="auto"/>
      </w:divBdr>
      <w:divsChild>
        <w:div w:id="123236374">
          <w:marLeft w:val="0"/>
          <w:marRight w:val="0"/>
          <w:marTop w:val="160"/>
          <w:marBottom w:val="160"/>
          <w:divBdr>
            <w:top w:val="none" w:sz="0" w:space="0" w:color="auto"/>
            <w:left w:val="none" w:sz="0" w:space="0" w:color="auto"/>
            <w:bottom w:val="none" w:sz="0" w:space="0" w:color="auto"/>
            <w:right w:val="none" w:sz="0" w:space="0" w:color="auto"/>
          </w:divBdr>
        </w:div>
        <w:div w:id="1355764577">
          <w:marLeft w:val="0"/>
          <w:marRight w:val="0"/>
          <w:marTop w:val="160"/>
          <w:marBottom w:val="160"/>
          <w:divBdr>
            <w:top w:val="none" w:sz="0" w:space="0" w:color="auto"/>
            <w:left w:val="none" w:sz="0" w:space="0" w:color="auto"/>
            <w:bottom w:val="none" w:sz="0" w:space="0" w:color="auto"/>
            <w:right w:val="none" w:sz="0" w:space="0" w:color="auto"/>
          </w:divBdr>
        </w:div>
        <w:div w:id="1712731235">
          <w:marLeft w:val="0"/>
          <w:marRight w:val="0"/>
          <w:marTop w:val="160"/>
          <w:marBottom w:val="160"/>
          <w:divBdr>
            <w:top w:val="none" w:sz="0" w:space="0" w:color="auto"/>
            <w:left w:val="none" w:sz="0" w:space="0" w:color="auto"/>
            <w:bottom w:val="none" w:sz="0" w:space="0" w:color="auto"/>
            <w:right w:val="none" w:sz="0" w:space="0" w:color="auto"/>
          </w:divBdr>
        </w:div>
        <w:div w:id="1713339574">
          <w:marLeft w:val="576"/>
          <w:marRight w:val="0"/>
          <w:marTop w:val="16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apman@hortnz.co.nz" TargetMode="External"/><Relationship Id="rId3" Type="http://schemas.openxmlformats.org/officeDocument/2006/relationships/settings" Target="settings.xml"/><Relationship Id="rId7" Type="http://schemas.openxmlformats.org/officeDocument/2006/relationships/hyperlink" Target="mailto:Erin@applesandpears.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Chapman</dc:creator>
  <cp:keywords/>
  <dc:description/>
  <cp:lastModifiedBy>Hugh Chesterman</cp:lastModifiedBy>
  <cp:revision>4</cp:revision>
  <cp:lastPrinted>2021-01-14T23:37:00Z</cp:lastPrinted>
  <dcterms:created xsi:type="dcterms:W3CDTF">2021-01-31T18:05:00Z</dcterms:created>
  <dcterms:modified xsi:type="dcterms:W3CDTF">2021-02-01T23:16:00Z</dcterms:modified>
</cp:coreProperties>
</file>